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9A848" w14:textId="77777777" w:rsidR="001E192F" w:rsidRPr="001E192F" w:rsidRDefault="001E192F" w:rsidP="009A2C29">
      <w:pPr>
        <w:pStyle w:val="Title"/>
        <w:spacing w:after="0"/>
        <w:jc w:val="center"/>
        <w:rPr>
          <w:rFonts w:cs="Times New Roman"/>
          <w:sz w:val="32"/>
          <w:szCs w:val="32"/>
        </w:rPr>
      </w:pPr>
      <w:r w:rsidRPr="001E192F">
        <w:rPr>
          <w:rFonts w:cs="Times New Roman"/>
          <w:sz w:val="32"/>
          <w:szCs w:val="32"/>
        </w:rPr>
        <w:t>The Importance of Empirical Research Design in Asset Pricing</w:t>
      </w:r>
    </w:p>
    <w:p w14:paraId="7239AE17" w14:textId="77777777" w:rsidR="001E192F" w:rsidRPr="009A2C29" w:rsidRDefault="001E192F" w:rsidP="009A2C29">
      <w:pPr>
        <w:pStyle w:val="MYstyle"/>
        <w:spacing w:after="0"/>
        <w:ind w:left="0" w:firstLine="0"/>
        <w:jc w:val="center"/>
        <w:rPr>
          <w:szCs w:val="24"/>
        </w:rPr>
      </w:pPr>
    </w:p>
    <w:p w14:paraId="29D8A3B0" w14:textId="77777777" w:rsidR="001E192F" w:rsidRPr="009A2C29" w:rsidRDefault="001E192F" w:rsidP="009A2C29">
      <w:pPr>
        <w:pStyle w:val="MYstyle"/>
        <w:spacing w:after="0"/>
        <w:ind w:left="0" w:firstLine="0"/>
        <w:jc w:val="center"/>
        <w:rPr>
          <w:szCs w:val="24"/>
        </w:rPr>
      </w:pPr>
    </w:p>
    <w:p w14:paraId="770C702D" w14:textId="77777777" w:rsidR="001E192F" w:rsidRPr="009A2C29" w:rsidRDefault="001E192F" w:rsidP="009A2C29">
      <w:pPr>
        <w:pStyle w:val="MYstyle"/>
        <w:spacing w:after="0"/>
        <w:ind w:left="0" w:firstLine="0"/>
        <w:jc w:val="center"/>
        <w:rPr>
          <w:szCs w:val="24"/>
        </w:rPr>
      </w:pPr>
      <w:r w:rsidRPr="009A2C29">
        <w:rPr>
          <w:szCs w:val="24"/>
        </w:rPr>
        <w:t>Richard A. Followill</w:t>
      </w:r>
    </w:p>
    <w:p w14:paraId="33385500" w14:textId="77777777" w:rsidR="001E192F" w:rsidRPr="009A2C29" w:rsidRDefault="001E192F" w:rsidP="009A2C29">
      <w:pPr>
        <w:pStyle w:val="MYstyle"/>
        <w:spacing w:after="0"/>
        <w:ind w:left="0" w:firstLine="0"/>
        <w:jc w:val="center"/>
        <w:rPr>
          <w:szCs w:val="24"/>
        </w:rPr>
      </w:pPr>
      <w:r w:rsidRPr="009A2C29">
        <w:rPr>
          <w:szCs w:val="24"/>
        </w:rPr>
        <w:t>Department of Finance</w:t>
      </w:r>
    </w:p>
    <w:p w14:paraId="1321B526" w14:textId="77777777" w:rsidR="001E192F" w:rsidRPr="009A2C29" w:rsidRDefault="001E192F" w:rsidP="009A2C29">
      <w:pPr>
        <w:pStyle w:val="MYstyle"/>
        <w:spacing w:after="0"/>
        <w:ind w:left="0" w:firstLine="0"/>
        <w:jc w:val="center"/>
        <w:rPr>
          <w:szCs w:val="24"/>
        </w:rPr>
      </w:pPr>
      <w:r w:rsidRPr="009A2C29">
        <w:rPr>
          <w:szCs w:val="24"/>
        </w:rPr>
        <w:t xml:space="preserve">308 </w:t>
      </w:r>
      <w:proofErr w:type="spellStart"/>
      <w:r w:rsidRPr="009A2C29">
        <w:rPr>
          <w:szCs w:val="24"/>
        </w:rPr>
        <w:t>Curris</w:t>
      </w:r>
      <w:proofErr w:type="spellEnd"/>
      <w:r w:rsidRPr="009A2C29">
        <w:rPr>
          <w:szCs w:val="24"/>
        </w:rPr>
        <w:t xml:space="preserve"> Business Building</w:t>
      </w:r>
    </w:p>
    <w:p w14:paraId="0F2F259C" w14:textId="77777777" w:rsidR="001E192F" w:rsidRPr="009A2C29" w:rsidRDefault="001E192F" w:rsidP="009A2C29">
      <w:pPr>
        <w:pStyle w:val="MYstyle"/>
        <w:spacing w:after="0"/>
        <w:ind w:left="0" w:firstLine="0"/>
        <w:jc w:val="center"/>
        <w:rPr>
          <w:szCs w:val="24"/>
        </w:rPr>
      </w:pPr>
      <w:r w:rsidRPr="009A2C29">
        <w:rPr>
          <w:szCs w:val="24"/>
        </w:rPr>
        <w:t>University of Northern Iowa</w:t>
      </w:r>
    </w:p>
    <w:p w14:paraId="1EC28AFF" w14:textId="77777777" w:rsidR="001E192F" w:rsidRPr="009A2C29" w:rsidRDefault="001E192F" w:rsidP="009A2C29">
      <w:pPr>
        <w:pStyle w:val="MYstyle"/>
        <w:spacing w:after="0"/>
        <w:ind w:left="0" w:firstLine="0"/>
        <w:jc w:val="center"/>
        <w:rPr>
          <w:szCs w:val="24"/>
        </w:rPr>
      </w:pPr>
      <w:r w:rsidRPr="009A2C29">
        <w:rPr>
          <w:szCs w:val="24"/>
        </w:rPr>
        <w:t>Cedar Falls, IA 50614-0124</w:t>
      </w:r>
    </w:p>
    <w:p w14:paraId="00361085" w14:textId="5070BE77" w:rsidR="001E192F" w:rsidRPr="009A2C29" w:rsidRDefault="001E192F" w:rsidP="009A2C29">
      <w:pPr>
        <w:pStyle w:val="MYstyle"/>
        <w:spacing w:after="0"/>
        <w:ind w:left="0" w:firstLine="0"/>
        <w:jc w:val="center"/>
        <w:rPr>
          <w:szCs w:val="24"/>
        </w:rPr>
      </w:pPr>
      <w:r w:rsidRPr="009A2C29">
        <w:rPr>
          <w:szCs w:val="24"/>
        </w:rPr>
        <w:t>Phone: (319) 273-6817</w:t>
      </w:r>
    </w:p>
    <w:p w14:paraId="4E5F43FA" w14:textId="37BFA304" w:rsidR="001E192F" w:rsidRPr="009A2C29" w:rsidRDefault="001E192F" w:rsidP="009A2C29">
      <w:pPr>
        <w:pStyle w:val="MYstyle"/>
        <w:spacing w:after="0"/>
        <w:ind w:left="0" w:firstLine="0"/>
        <w:jc w:val="center"/>
        <w:rPr>
          <w:szCs w:val="24"/>
        </w:rPr>
      </w:pPr>
      <w:r w:rsidRPr="009A2C29">
        <w:rPr>
          <w:szCs w:val="24"/>
        </w:rPr>
        <w:t>Fax: (319) 273-2922</w:t>
      </w:r>
    </w:p>
    <w:p w14:paraId="3524662E" w14:textId="59F6065F" w:rsidR="001E192F" w:rsidRPr="009A2C29" w:rsidRDefault="001E192F" w:rsidP="009A2C29">
      <w:pPr>
        <w:pStyle w:val="MYstyle"/>
        <w:spacing w:after="0"/>
        <w:ind w:left="0" w:firstLine="0"/>
        <w:jc w:val="center"/>
        <w:rPr>
          <w:szCs w:val="24"/>
        </w:rPr>
      </w:pPr>
      <w:r w:rsidRPr="009A2C29">
        <w:rPr>
          <w:szCs w:val="24"/>
        </w:rPr>
        <w:t>Email: richard.followill@uni.edu</w:t>
      </w:r>
    </w:p>
    <w:p w14:paraId="285B0A64" w14:textId="77777777" w:rsidR="001E192F" w:rsidRPr="009A2C29" w:rsidRDefault="001E192F" w:rsidP="009A2C29">
      <w:pPr>
        <w:pStyle w:val="MYstyle"/>
        <w:spacing w:after="0"/>
        <w:ind w:left="0" w:firstLine="0"/>
        <w:jc w:val="center"/>
        <w:rPr>
          <w:szCs w:val="24"/>
        </w:rPr>
      </w:pPr>
    </w:p>
    <w:p w14:paraId="47AA692E" w14:textId="77777777" w:rsidR="001E192F" w:rsidRPr="009A2C29" w:rsidRDefault="001E192F" w:rsidP="009A2C29">
      <w:pPr>
        <w:pStyle w:val="MYstyle"/>
        <w:spacing w:after="0"/>
        <w:ind w:left="0" w:firstLine="0"/>
        <w:jc w:val="center"/>
        <w:rPr>
          <w:szCs w:val="24"/>
        </w:rPr>
      </w:pPr>
    </w:p>
    <w:p w14:paraId="6F91F528" w14:textId="77777777" w:rsidR="001E192F" w:rsidRPr="009A2C29" w:rsidRDefault="001E192F" w:rsidP="009A2C29">
      <w:pPr>
        <w:pStyle w:val="MYstyle"/>
        <w:spacing w:after="0"/>
        <w:ind w:left="0" w:firstLine="0"/>
        <w:jc w:val="center"/>
        <w:rPr>
          <w:szCs w:val="24"/>
        </w:rPr>
      </w:pPr>
      <w:r w:rsidRPr="009A2C29">
        <w:rPr>
          <w:szCs w:val="24"/>
        </w:rPr>
        <w:t>Brett C. Olsen</w:t>
      </w:r>
    </w:p>
    <w:p w14:paraId="4D76EB81" w14:textId="77777777" w:rsidR="001E192F" w:rsidRPr="009A2C29" w:rsidRDefault="001E192F" w:rsidP="009A2C29">
      <w:pPr>
        <w:pStyle w:val="MYstyle"/>
        <w:spacing w:after="0"/>
        <w:ind w:left="0" w:firstLine="0"/>
        <w:jc w:val="center"/>
        <w:rPr>
          <w:szCs w:val="24"/>
        </w:rPr>
      </w:pPr>
      <w:r w:rsidRPr="009A2C29">
        <w:rPr>
          <w:szCs w:val="24"/>
        </w:rPr>
        <w:t>Department of Finance</w:t>
      </w:r>
    </w:p>
    <w:p w14:paraId="663583F6" w14:textId="77777777" w:rsidR="001E192F" w:rsidRPr="009A2C29" w:rsidRDefault="001E192F" w:rsidP="009A2C29">
      <w:pPr>
        <w:pStyle w:val="MYstyle"/>
        <w:spacing w:after="0"/>
        <w:ind w:left="0" w:firstLine="0"/>
        <w:jc w:val="center"/>
        <w:rPr>
          <w:szCs w:val="24"/>
        </w:rPr>
      </w:pPr>
      <w:r w:rsidRPr="009A2C29">
        <w:rPr>
          <w:szCs w:val="24"/>
        </w:rPr>
        <w:t xml:space="preserve">312 </w:t>
      </w:r>
      <w:proofErr w:type="spellStart"/>
      <w:r w:rsidRPr="009A2C29">
        <w:rPr>
          <w:szCs w:val="24"/>
        </w:rPr>
        <w:t>Curris</w:t>
      </w:r>
      <w:proofErr w:type="spellEnd"/>
      <w:r w:rsidRPr="009A2C29">
        <w:rPr>
          <w:szCs w:val="24"/>
        </w:rPr>
        <w:t xml:space="preserve"> Business Building</w:t>
      </w:r>
    </w:p>
    <w:p w14:paraId="2E1454E0" w14:textId="77777777" w:rsidR="001E192F" w:rsidRPr="009A2C29" w:rsidRDefault="001E192F" w:rsidP="009A2C29">
      <w:pPr>
        <w:pStyle w:val="MYstyle"/>
        <w:spacing w:after="0"/>
        <w:ind w:left="0" w:firstLine="0"/>
        <w:jc w:val="center"/>
        <w:rPr>
          <w:szCs w:val="24"/>
        </w:rPr>
      </w:pPr>
      <w:r w:rsidRPr="009A2C29">
        <w:rPr>
          <w:szCs w:val="24"/>
        </w:rPr>
        <w:t>University of Northern Iowa</w:t>
      </w:r>
    </w:p>
    <w:p w14:paraId="5D08ED6A" w14:textId="77777777" w:rsidR="001E192F" w:rsidRPr="009A2C29" w:rsidRDefault="001E192F" w:rsidP="009A2C29">
      <w:pPr>
        <w:pStyle w:val="MYstyle"/>
        <w:spacing w:after="0"/>
        <w:ind w:left="0" w:firstLine="0"/>
        <w:jc w:val="center"/>
        <w:rPr>
          <w:szCs w:val="24"/>
        </w:rPr>
      </w:pPr>
      <w:r w:rsidRPr="009A2C29">
        <w:rPr>
          <w:szCs w:val="24"/>
        </w:rPr>
        <w:t>Cedar Falls, IA 50614-0124</w:t>
      </w:r>
    </w:p>
    <w:p w14:paraId="46ED05CB" w14:textId="48680E04" w:rsidR="001E192F" w:rsidRPr="009A2C29" w:rsidRDefault="001E192F" w:rsidP="009A2C29">
      <w:pPr>
        <w:pStyle w:val="MYstyle"/>
        <w:spacing w:after="0"/>
        <w:ind w:left="0" w:firstLine="0"/>
        <w:jc w:val="center"/>
        <w:rPr>
          <w:szCs w:val="24"/>
        </w:rPr>
      </w:pPr>
      <w:r w:rsidRPr="009A2C29">
        <w:rPr>
          <w:szCs w:val="24"/>
        </w:rPr>
        <w:t>Phone: (319) 273-2396</w:t>
      </w:r>
    </w:p>
    <w:p w14:paraId="0E041457" w14:textId="77777777" w:rsidR="001E192F" w:rsidRPr="009A2C29" w:rsidRDefault="001E192F" w:rsidP="009A2C29">
      <w:pPr>
        <w:pStyle w:val="MYstyle"/>
        <w:spacing w:after="0"/>
        <w:ind w:left="0" w:firstLine="0"/>
        <w:jc w:val="center"/>
        <w:rPr>
          <w:szCs w:val="24"/>
        </w:rPr>
      </w:pPr>
      <w:r w:rsidRPr="009A2C29">
        <w:rPr>
          <w:szCs w:val="24"/>
        </w:rPr>
        <w:t>Fax: (319) 273-2922</w:t>
      </w:r>
    </w:p>
    <w:p w14:paraId="4D8D0E0B" w14:textId="28AAD184" w:rsidR="001E192F" w:rsidRPr="009A2C29" w:rsidRDefault="001E192F" w:rsidP="009A2C29">
      <w:pPr>
        <w:pStyle w:val="MYstyle"/>
        <w:spacing w:after="0"/>
        <w:ind w:left="0" w:firstLine="0"/>
        <w:jc w:val="center"/>
        <w:rPr>
          <w:szCs w:val="24"/>
        </w:rPr>
      </w:pPr>
      <w:r w:rsidRPr="009A2C29">
        <w:rPr>
          <w:szCs w:val="24"/>
        </w:rPr>
        <w:t>Email: brett.olsen@uni.edu</w:t>
      </w:r>
    </w:p>
    <w:p w14:paraId="3A88E5C2" w14:textId="77777777" w:rsidR="001E192F" w:rsidRPr="009A2C29" w:rsidRDefault="001E192F" w:rsidP="009A2C29">
      <w:pPr>
        <w:pStyle w:val="MYstyle"/>
        <w:spacing w:after="0"/>
        <w:ind w:left="0" w:firstLine="0"/>
        <w:jc w:val="center"/>
        <w:rPr>
          <w:szCs w:val="24"/>
        </w:rPr>
      </w:pPr>
    </w:p>
    <w:p w14:paraId="30E30CAF" w14:textId="77777777" w:rsidR="001E192F" w:rsidRPr="009A2C29" w:rsidRDefault="001E192F" w:rsidP="009A2C29">
      <w:pPr>
        <w:pStyle w:val="MYstyle"/>
        <w:spacing w:after="0"/>
        <w:ind w:left="0" w:firstLine="0"/>
        <w:jc w:val="center"/>
        <w:rPr>
          <w:szCs w:val="24"/>
        </w:rPr>
      </w:pPr>
    </w:p>
    <w:p w14:paraId="116A5AD0" w14:textId="77777777" w:rsidR="001E192F" w:rsidRPr="009A2C29" w:rsidRDefault="001E192F" w:rsidP="009A2C29">
      <w:pPr>
        <w:pStyle w:val="MYstyle"/>
        <w:spacing w:after="0"/>
        <w:ind w:left="0" w:firstLine="0"/>
        <w:jc w:val="center"/>
        <w:rPr>
          <w:szCs w:val="24"/>
        </w:rPr>
      </w:pPr>
      <w:r w:rsidRPr="009A2C29">
        <w:rPr>
          <w:szCs w:val="24"/>
        </w:rPr>
        <w:t xml:space="preserve">Adam R. </w:t>
      </w:r>
      <w:proofErr w:type="spellStart"/>
      <w:r w:rsidRPr="009A2C29">
        <w:rPr>
          <w:szCs w:val="24"/>
        </w:rPr>
        <w:t>Smedema</w:t>
      </w:r>
      <w:proofErr w:type="spellEnd"/>
    </w:p>
    <w:p w14:paraId="382A8ABF" w14:textId="77777777" w:rsidR="001E192F" w:rsidRPr="009A2C29" w:rsidRDefault="001E192F" w:rsidP="009A2C29">
      <w:pPr>
        <w:pStyle w:val="MYstyle"/>
        <w:spacing w:after="0"/>
        <w:ind w:left="0" w:firstLine="0"/>
        <w:jc w:val="center"/>
        <w:rPr>
          <w:szCs w:val="24"/>
        </w:rPr>
      </w:pPr>
      <w:r w:rsidRPr="009A2C29">
        <w:rPr>
          <w:szCs w:val="24"/>
        </w:rPr>
        <w:t>Department of Finance</w:t>
      </w:r>
    </w:p>
    <w:p w14:paraId="5319892B" w14:textId="77777777" w:rsidR="001E192F" w:rsidRPr="009A2C29" w:rsidRDefault="001E192F" w:rsidP="009A2C29">
      <w:pPr>
        <w:pStyle w:val="MYstyle"/>
        <w:spacing w:after="0"/>
        <w:ind w:left="0" w:firstLine="0"/>
        <w:jc w:val="center"/>
        <w:rPr>
          <w:szCs w:val="24"/>
        </w:rPr>
      </w:pPr>
      <w:r w:rsidRPr="009A2C29">
        <w:rPr>
          <w:szCs w:val="24"/>
        </w:rPr>
        <w:t xml:space="preserve">304 </w:t>
      </w:r>
      <w:proofErr w:type="spellStart"/>
      <w:r w:rsidRPr="009A2C29">
        <w:rPr>
          <w:szCs w:val="24"/>
        </w:rPr>
        <w:t>Curris</w:t>
      </w:r>
      <w:proofErr w:type="spellEnd"/>
      <w:r w:rsidRPr="009A2C29">
        <w:rPr>
          <w:szCs w:val="24"/>
        </w:rPr>
        <w:t xml:space="preserve"> Business Building</w:t>
      </w:r>
    </w:p>
    <w:p w14:paraId="15B010EA" w14:textId="77777777" w:rsidR="001E192F" w:rsidRPr="009A2C29" w:rsidRDefault="001E192F" w:rsidP="009A2C29">
      <w:pPr>
        <w:pStyle w:val="MYstyle"/>
        <w:spacing w:after="0"/>
        <w:ind w:left="0" w:firstLine="0"/>
        <w:jc w:val="center"/>
        <w:rPr>
          <w:szCs w:val="24"/>
        </w:rPr>
      </w:pPr>
      <w:r w:rsidRPr="009A2C29">
        <w:rPr>
          <w:szCs w:val="24"/>
        </w:rPr>
        <w:t>University of Northern Iowa</w:t>
      </w:r>
    </w:p>
    <w:p w14:paraId="1E858FC4" w14:textId="77777777" w:rsidR="001E192F" w:rsidRPr="009A2C29" w:rsidRDefault="001E192F" w:rsidP="009A2C29">
      <w:pPr>
        <w:pStyle w:val="MYstyle"/>
        <w:spacing w:after="0"/>
        <w:ind w:left="0" w:firstLine="0"/>
        <w:jc w:val="center"/>
        <w:rPr>
          <w:szCs w:val="24"/>
        </w:rPr>
      </w:pPr>
      <w:r w:rsidRPr="009A2C29">
        <w:rPr>
          <w:szCs w:val="24"/>
        </w:rPr>
        <w:t>Cedar Falls, IA 50614-0124</w:t>
      </w:r>
    </w:p>
    <w:p w14:paraId="37609DEE" w14:textId="759A04B6" w:rsidR="001E192F" w:rsidRPr="009A2C29" w:rsidRDefault="001E192F" w:rsidP="009A2C29">
      <w:pPr>
        <w:pStyle w:val="MYstyle"/>
        <w:spacing w:after="0"/>
        <w:ind w:left="0" w:firstLine="0"/>
        <w:jc w:val="center"/>
        <w:rPr>
          <w:szCs w:val="24"/>
        </w:rPr>
      </w:pPr>
      <w:r w:rsidRPr="009A2C29">
        <w:rPr>
          <w:szCs w:val="24"/>
        </w:rPr>
        <w:t>Phone: (319) 273-6067</w:t>
      </w:r>
    </w:p>
    <w:p w14:paraId="10977673" w14:textId="77777777" w:rsidR="001E192F" w:rsidRPr="009A2C29" w:rsidRDefault="001E192F" w:rsidP="009A2C29">
      <w:pPr>
        <w:pStyle w:val="MYstyle"/>
        <w:spacing w:after="0"/>
        <w:ind w:left="0" w:firstLine="0"/>
        <w:jc w:val="center"/>
        <w:rPr>
          <w:szCs w:val="24"/>
        </w:rPr>
      </w:pPr>
      <w:r w:rsidRPr="009A2C29">
        <w:rPr>
          <w:szCs w:val="24"/>
        </w:rPr>
        <w:t>Fax: (319) 273-2922</w:t>
      </w:r>
    </w:p>
    <w:p w14:paraId="1DA7DC17" w14:textId="0E838D4A" w:rsidR="001E192F" w:rsidRPr="009A2C29" w:rsidRDefault="001E192F" w:rsidP="009A2C29">
      <w:pPr>
        <w:pStyle w:val="MYstyle"/>
        <w:spacing w:after="0"/>
        <w:ind w:left="0" w:firstLine="0"/>
        <w:jc w:val="center"/>
        <w:rPr>
          <w:szCs w:val="24"/>
        </w:rPr>
      </w:pPr>
      <w:r w:rsidRPr="009A2C29">
        <w:rPr>
          <w:szCs w:val="24"/>
        </w:rPr>
        <w:t>Email: adam.smedema@uni.edu</w:t>
      </w:r>
    </w:p>
    <w:p w14:paraId="04E912DF" w14:textId="77777777" w:rsidR="001E192F" w:rsidRPr="009A2C29" w:rsidRDefault="001E192F" w:rsidP="009A2C29">
      <w:pPr>
        <w:pStyle w:val="MYstyle"/>
        <w:spacing w:after="0"/>
        <w:ind w:left="0" w:firstLine="0"/>
        <w:jc w:val="center"/>
        <w:rPr>
          <w:sz w:val="22"/>
          <w:szCs w:val="24"/>
        </w:rPr>
      </w:pPr>
    </w:p>
    <w:p w14:paraId="5B3E025E" w14:textId="77777777" w:rsidR="00525B92" w:rsidRPr="009A2C29" w:rsidRDefault="00525B92" w:rsidP="009A2C29">
      <w:pPr>
        <w:pStyle w:val="MYstyle"/>
        <w:spacing w:after="0"/>
        <w:ind w:left="0" w:firstLine="0"/>
        <w:jc w:val="left"/>
        <w:rPr>
          <w:sz w:val="22"/>
          <w:szCs w:val="24"/>
        </w:rPr>
      </w:pPr>
    </w:p>
    <w:p w14:paraId="70E602BA" w14:textId="77777777" w:rsidR="009A2C29" w:rsidRPr="009A2C29" w:rsidRDefault="009A2C29" w:rsidP="009A2C29">
      <w:pPr>
        <w:pStyle w:val="Title"/>
        <w:spacing w:after="0"/>
        <w:jc w:val="left"/>
        <w:rPr>
          <w:rFonts w:cs="Times New Roman"/>
          <w:szCs w:val="24"/>
        </w:rPr>
      </w:pPr>
    </w:p>
    <w:p w14:paraId="0FDADA63" w14:textId="02C0538D" w:rsidR="00053B4B" w:rsidRDefault="00053B4B" w:rsidP="009A2C29">
      <w:pPr>
        <w:pStyle w:val="Title"/>
        <w:spacing w:after="0"/>
        <w:jc w:val="left"/>
        <w:rPr>
          <w:rFonts w:cs="Times New Roman"/>
          <w:szCs w:val="24"/>
        </w:rPr>
      </w:pPr>
      <w:r w:rsidRPr="009A2C29">
        <w:rPr>
          <w:rFonts w:cs="Times New Roman"/>
          <w:szCs w:val="24"/>
        </w:rPr>
        <w:t>Abstract</w:t>
      </w:r>
    </w:p>
    <w:p w14:paraId="124B7CA8" w14:textId="77777777" w:rsidR="009A2C29" w:rsidRDefault="009A2C29" w:rsidP="009A2C29">
      <w:pPr>
        <w:pStyle w:val="TableBody"/>
        <w:tabs>
          <w:tab w:val="clear" w:pos="360"/>
        </w:tabs>
        <w:rPr>
          <w:szCs w:val="24"/>
        </w:rPr>
      </w:pPr>
    </w:p>
    <w:p w14:paraId="59F8AF73" w14:textId="0FF5E3C6" w:rsidR="00053B4B" w:rsidRPr="009A2C29" w:rsidRDefault="00053B4B" w:rsidP="009A2C29">
      <w:pPr>
        <w:pStyle w:val="TableBody"/>
        <w:tabs>
          <w:tab w:val="clear" w:pos="360"/>
        </w:tabs>
        <w:rPr>
          <w:szCs w:val="24"/>
        </w:rPr>
      </w:pPr>
      <w:r w:rsidRPr="009A2C29">
        <w:rPr>
          <w:szCs w:val="24"/>
        </w:rPr>
        <w:t xml:space="preserve">The selection of methodological alternatives in asset </w:t>
      </w:r>
      <w:r w:rsidR="00D40AEC" w:rsidRPr="009A2C29">
        <w:rPr>
          <w:szCs w:val="24"/>
        </w:rPr>
        <w:t>pricing analysis can serve to significantly</w:t>
      </w:r>
      <w:r w:rsidRPr="009A2C29">
        <w:rPr>
          <w:szCs w:val="24"/>
        </w:rPr>
        <w:t xml:space="preserve"> alter the interpretation and</w:t>
      </w:r>
      <w:r w:rsidR="007C3502" w:rsidRPr="009A2C29">
        <w:rPr>
          <w:szCs w:val="24"/>
        </w:rPr>
        <w:t xml:space="preserve"> possibly the statistical</w:t>
      </w:r>
      <w:r w:rsidRPr="009A2C29">
        <w:rPr>
          <w:szCs w:val="24"/>
        </w:rPr>
        <w:t xml:space="preserve"> inference o</w:t>
      </w:r>
      <w:r w:rsidR="009128E1" w:rsidRPr="009A2C29">
        <w:rPr>
          <w:szCs w:val="24"/>
        </w:rPr>
        <w:t>f empirical</w:t>
      </w:r>
      <w:r w:rsidR="00D40AEC" w:rsidRPr="009A2C29">
        <w:rPr>
          <w:szCs w:val="24"/>
        </w:rPr>
        <w:t xml:space="preserve"> results</w:t>
      </w:r>
      <w:r w:rsidR="00993792" w:rsidRPr="009A2C29">
        <w:rPr>
          <w:szCs w:val="24"/>
        </w:rPr>
        <w:t xml:space="preserve">.  </w:t>
      </w:r>
      <w:r w:rsidR="00D40AEC" w:rsidRPr="009A2C29">
        <w:rPr>
          <w:szCs w:val="24"/>
        </w:rPr>
        <w:t>W</w:t>
      </w:r>
      <w:r w:rsidRPr="009A2C29">
        <w:rPr>
          <w:szCs w:val="24"/>
        </w:rPr>
        <w:t xml:space="preserve">e examine the statistical and economic impact of subtle yet important changes to </w:t>
      </w:r>
      <w:r w:rsidR="00D40AEC" w:rsidRPr="009A2C29">
        <w:rPr>
          <w:szCs w:val="24"/>
        </w:rPr>
        <w:t>the methodological design of an important empirical study</w:t>
      </w:r>
      <w:r w:rsidR="00993792" w:rsidRPr="009A2C29">
        <w:rPr>
          <w:szCs w:val="24"/>
        </w:rPr>
        <w:t xml:space="preserve">.  </w:t>
      </w:r>
      <w:r w:rsidR="00D40AEC" w:rsidRPr="009A2C29">
        <w:rPr>
          <w:szCs w:val="24"/>
        </w:rPr>
        <w:t xml:space="preserve">We select the pricing </w:t>
      </w:r>
      <w:r w:rsidRPr="009A2C29">
        <w:rPr>
          <w:szCs w:val="24"/>
        </w:rPr>
        <w:t xml:space="preserve">of idiosyncratic volatility as our test model, </w:t>
      </w:r>
      <w:r w:rsidR="00D40AEC" w:rsidRPr="009A2C29">
        <w:rPr>
          <w:szCs w:val="24"/>
        </w:rPr>
        <w:t xml:space="preserve">and </w:t>
      </w:r>
      <w:r w:rsidRPr="009A2C29">
        <w:rPr>
          <w:szCs w:val="24"/>
        </w:rPr>
        <w:t>we find that equally valid test designs can generate significantly different result</w:t>
      </w:r>
      <w:r w:rsidR="00D40AEC" w:rsidRPr="009A2C29">
        <w:rPr>
          <w:szCs w:val="24"/>
        </w:rPr>
        <w:t>s and</w:t>
      </w:r>
      <w:r w:rsidRPr="009A2C29">
        <w:rPr>
          <w:szCs w:val="24"/>
        </w:rPr>
        <w:t xml:space="preserve"> conclusions</w:t>
      </w:r>
      <w:r w:rsidR="00993792" w:rsidRPr="009A2C29">
        <w:rPr>
          <w:szCs w:val="24"/>
        </w:rPr>
        <w:t xml:space="preserve">.  </w:t>
      </w:r>
      <w:r w:rsidRPr="009A2C29">
        <w:rPr>
          <w:szCs w:val="24"/>
        </w:rPr>
        <w:t xml:space="preserve">We estimate monthly alphas for </w:t>
      </w:r>
      <w:r w:rsidR="00D40AEC" w:rsidRPr="009A2C29">
        <w:rPr>
          <w:szCs w:val="24"/>
        </w:rPr>
        <w:t xml:space="preserve">portfolios sorted by </w:t>
      </w:r>
      <w:r w:rsidRPr="009A2C29">
        <w:rPr>
          <w:szCs w:val="24"/>
        </w:rPr>
        <w:t xml:space="preserve">idiosyncratic volatility and find a set of plausible </w:t>
      </w:r>
      <w:r w:rsidR="002941E6" w:rsidRPr="009A2C29">
        <w:rPr>
          <w:szCs w:val="24"/>
        </w:rPr>
        <w:t xml:space="preserve">monthly </w:t>
      </w:r>
      <w:r w:rsidRPr="009A2C29">
        <w:rPr>
          <w:szCs w:val="24"/>
        </w:rPr>
        <w:t>alphas th</w:t>
      </w:r>
      <w:r w:rsidR="00F43872" w:rsidRPr="009A2C29">
        <w:rPr>
          <w:szCs w:val="24"/>
        </w:rPr>
        <w:t xml:space="preserve">at range from </w:t>
      </w:r>
      <w:r w:rsidR="007C3502" w:rsidRPr="009A2C29">
        <w:rPr>
          <w:szCs w:val="24"/>
        </w:rPr>
        <w:noBreakHyphen/>
      </w:r>
      <w:r w:rsidR="00F43872" w:rsidRPr="009A2C29">
        <w:rPr>
          <w:szCs w:val="24"/>
        </w:rPr>
        <w:t>1.</w:t>
      </w:r>
      <w:r w:rsidR="007C3502" w:rsidRPr="009A2C29">
        <w:rPr>
          <w:szCs w:val="24"/>
        </w:rPr>
        <w:t>478</w:t>
      </w:r>
      <w:r w:rsidR="00F43872" w:rsidRPr="009A2C29">
        <w:rPr>
          <w:szCs w:val="24"/>
        </w:rPr>
        <w:t>% to +</w:t>
      </w:r>
      <w:r w:rsidR="0049451A" w:rsidRPr="009A2C29">
        <w:rPr>
          <w:szCs w:val="24"/>
        </w:rPr>
        <w:t>0</w:t>
      </w:r>
      <w:r w:rsidR="00F43872" w:rsidRPr="009A2C29">
        <w:rPr>
          <w:szCs w:val="24"/>
        </w:rPr>
        <w:t>.0</w:t>
      </w:r>
      <w:r w:rsidR="007C3502" w:rsidRPr="009A2C29">
        <w:rPr>
          <w:szCs w:val="24"/>
        </w:rPr>
        <w:t>44</w:t>
      </w:r>
      <w:r w:rsidR="00F43872" w:rsidRPr="009A2C29">
        <w:rPr>
          <w:szCs w:val="24"/>
        </w:rPr>
        <w:t>%</w:t>
      </w:r>
      <w:r w:rsidR="00993792" w:rsidRPr="009A2C29">
        <w:rPr>
          <w:szCs w:val="24"/>
        </w:rPr>
        <w:t xml:space="preserve">.  </w:t>
      </w:r>
      <w:r w:rsidRPr="009A2C29">
        <w:rPr>
          <w:szCs w:val="24"/>
        </w:rPr>
        <w:t xml:space="preserve">We </w:t>
      </w:r>
      <w:r w:rsidR="00D40AEC" w:rsidRPr="009A2C29">
        <w:rPr>
          <w:szCs w:val="24"/>
        </w:rPr>
        <w:t>expound upon</w:t>
      </w:r>
      <w:r w:rsidRPr="009A2C29">
        <w:rPr>
          <w:szCs w:val="24"/>
        </w:rPr>
        <w:t xml:space="preserve"> the challenges posed to researchers by the effects of methodological test </w:t>
      </w:r>
      <w:r w:rsidR="00B501E5" w:rsidRPr="009A2C29">
        <w:rPr>
          <w:szCs w:val="24"/>
        </w:rPr>
        <w:t xml:space="preserve">design </w:t>
      </w:r>
      <w:r w:rsidRPr="009A2C29">
        <w:rPr>
          <w:szCs w:val="24"/>
        </w:rPr>
        <w:t>alternatives on inference.</w:t>
      </w:r>
    </w:p>
    <w:p w14:paraId="079621F0" w14:textId="77777777" w:rsidR="001E192F" w:rsidRDefault="001E192F" w:rsidP="009A2C29">
      <w:pPr>
        <w:pStyle w:val="Title"/>
        <w:spacing w:after="0"/>
        <w:jc w:val="left"/>
        <w:rPr>
          <w:rFonts w:cs="Times New Roman"/>
          <w:szCs w:val="24"/>
        </w:rPr>
      </w:pPr>
    </w:p>
    <w:p w14:paraId="2E1826CA" w14:textId="30FD9F19" w:rsidR="00053B4B" w:rsidRPr="009A2C29" w:rsidRDefault="008654F8" w:rsidP="009A2C29">
      <w:pPr>
        <w:pStyle w:val="Title"/>
        <w:spacing w:after="0" w:line="360" w:lineRule="auto"/>
        <w:jc w:val="left"/>
        <w:rPr>
          <w:rFonts w:cs="Times New Roman"/>
          <w:szCs w:val="24"/>
        </w:rPr>
      </w:pPr>
      <w:r>
        <w:rPr>
          <w:rFonts w:cs="Times New Roman"/>
          <w:szCs w:val="24"/>
        </w:rPr>
        <w:lastRenderedPageBreak/>
        <w:t xml:space="preserve">1.  </w:t>
      </w:r>
      <w:r w:rsidR="00053B4B" w:rsidRPr="009A2C29">
        <w:rPr>
          <w:rFonts w:cs="Times New Roman"/>
          <w:szCs w:val="24"/>
        </w:rPr>
        <w:t>Introduction</w:t>
      </w:r>
    </w:p>
    <w:p w14:paraId="6F94CE33" w14:textId="1B7456A9" w:rsidR="00053B4B" w:rsidRPr="009A2C29" w:rsidRDefault="00D40AEC" w:rsidP="009A2C29">
      <w:pPr>
        <w:pStyle w:val="BodyTextIndent"/>
        <w:spacing w:after="0" w:line="360" w:lineRule="auto"/>
        <w:rPr>
          <w:szCs w:val="24"/>
        </w:rPr>
      </w:pPr>
      <w:r w:rsidRPr="009A2C29">
        <w:rPr>
          <w:szCs w:val="24"/>
        </w:rPr>
        <w:t xml:space="preserve">Researchers must choose among </w:t>
      </w:r>
      <w:r w:rsidR="00053B4B" w:rsidRPr="009A2C29">
        <w:rPr>
          <w:szCs w:val="24"/>
        </w:rPr>
        <w:t>numerous design decisions</w:t>
      </w:r>
      <w:r w:rsidRPr="009A2C29">
        <w:rPr>
          <w:szCs w:val="24"/>
        </w:rPr>
        <w:t xml:space="preserve"> in order to construct an empirical test</w:t>
      </w:r>
      <w:r w:rsidR="00993792" w:rsidRPr="009A2C29">
        <w:rPr>
          <w:szCs w:val="24"/>
        </w:rPr>
        <w:t xml:space="preserve">.  </w:t>
      </w:r>
      <w:r w:rsidRPr="009A2C29">
        <w:rPr>
          <w:szCs w:val="24"/>
        </w:rPr>
        <w:t>These decisions</w:t>
      </w:r>
      <w:r w:rsidR="00053B4B" w:rsidRPr="009A2C29">
        <w:rPr>
          <w:szCs w:val="24"/>
        </w:rPr>
        <w:t xml:space="preserve"> can significantly impact </w:t>
      </w:r>
      <w:r w:rsidR="00822944" w:rsidRPr="009A2C29">
        <w:rPr>
          <w:szCs w:val="24"/>
        </w:rPr>
        <w:t xml:space="preserve">both </w:t>
      </w:r>
      <w:r w:rsidRPr="009A2C29">
        <w:rPr>
          <w:szCs w:val="24"/>
        </w:rPr>
        <w:t xml:space="preserve">empirical results and </w:t>
      </w:r>
      <w:r w:rsidR="00822944" w:rsidRPr="009A2C29">
        <w:rPr>
          <w:szCs w:val="24"/>
        </w:rPr>
        <w:t>conclusions</w:t>
      </w:r>
      <w:r w:rsidR="00993792" w:rsidRPr="009A2C29">
        <w:rPr>
          <w:szCs w:val="24"/>
        </w:rPr>
        <w:t xml:space="preserve">.  </w:t>
      </w:r>
      <w:r w:rsidR="00053B4B" w:rsidRPr="009A2C29">
        <w:rPr>
          <w:szCs w:val="24"/>
        </w:rPr>
        <w:t>This is particularly true of empiri</w:t>
      </w:r>
      <w:r w:rsidR="00822944" w:rsidRPr="009A2C29">
        <w:rPr>
          <w:szCs w:val="24"/>
        </w:rPr>
        <w:t>cal asset pricing tests</w:t>
      </w:r>
      <w:r w:rsidR="00993792" w:rsidRPr="009A2C29">
        <w:rPr>
          <w:szCs w:val="24"/>
        </w:rPr>
        <w:t xml:space="preserve">.  </w:t>
      </w:r>
      <w:r w:rsidR="00822944" w:rsidRPr="009A2C29">
        <w:rPr>
          <w:szCs w:val="24"/>
        </w:rPr>
        <w:t>For the particular methodology of</w:t>
      </w:r>
      <w:r w:rsidR="00053B4B" w:rsidRPr="009A2C29">
        <w:rPr>
          <w:szCs w:val="24"/>
        </w:rPr>
        <w:t xml:space="preserve"> port</w:t>
      </w:r>
      <w:r w:rsidR="00822944" w:rsidRPr="009A2C29">
        <w:rPr>
          <w:szCs w:val="24"/>
        </w:rPr>
        <w:t xml:space="preserve">folio formation, </w:t>
      </w:r>
      <w:r w:rsidR="00053B4B" w:rsidRPr="009A2C29">
        <w:rPr>
          <w:szCs w:val="24"/>
        </w:rPr>
        <w:t>the mo</w:t>
      </w:r>
      <w:r w:rsidR="00822944" w:rsidRPr="009A2C29">
        <w:rPr>
          <w:szCs w:val="24"/>
        </w:rPr>
        <w:t>st obvious design decisions are</w:t>
      </w:r>
      <w:r w:rsidR="00053B4B" w:rsidRPr="009A2C29">
        <w:rPr>
          <w:szCs w:val="24"/>
        </w:rPr>
        <w:t xml:space="preserve"> selecting </w:t>
      </w:r>
      <w:r w:rsidR="00822944" w:rsidRPr="009A2C29">
        <w:rPr>
          <w:szCs w:val="24"/>
        </w:rPr>
        <w:t>the control variables and sample</w:t>
      </w:r>
      <w:r w:rsidR="00993792" w:rsidRPr="009A2C29">
        <w:rPr>
          <w:szCs w:val="24"/>
        </w:rPr>
        <w:t xml:space="preserve">.  </w:t>
      </w:r>
      <w:r w:rsidR="00822944" w:rsidRPr="009A2C29">
        <w:rPr>
          <w:szCs w:val="24"/>
        </w:rPr>
        <w:t>In addition,</w:t>
      </w:r>
      <w:r w:rsidR="00053B4B" w:rsidRPr="009A2C29">
        <w:rPr>
          <w:szCs w:val="24"/>
        </w:rPr>
        <w:t xml:space="preserve"> researchers are required to make more subtle decisions, such as ch</w:t>
      </w:r>
      <w:r w:rsidR="00822944" w:rsidRPr="009A2C29">
        <w:rPr>
          <w:szCs w:val="24"/>
        </w:rPr>
        <w:t>oosing between equal-</w:t>
      </w:r>
      <w:r w:rsidR="00053B4B" w:rsidRPr="009A2C29">
        <w:rPr>
          <w:szCs w:val="24"/>
        </w:rPr>
        <w:t xml:space="preserve">weighted </w:t>
      </w:r>
      <w:r w:rsidR="00822944" w:rsidRPr="009A2C29">
        <w:rPr>
          <w:szCs w:val="24"/>
        </w:rPr>
        <w:t xml:space="preserve">or value-weighted </w:t>
      </w:r>
      <w:r w:rsidR="00053B4B" w:rsidRPr="009A2C29">
        <w:rPr>
          <w:szCs w:val="24"/>
        </w:rPr>
        <w:t>portfolio</w:t>
      </w:r>
      <w:r w:rsidR="00822944" w:rsidRPr="009A2C29">
        <w:rPr>
          <w:szCs w:val="24"/>
        </w:rPr>
        <w:t>s</w:t>
      </w:r>
      <w:r w:rsidR="00192304" w:rsidRPr="009A2C29">
        <w:rPr>
          <w:szCs w:val="24"/>
        </w:rPr>
        <w:t>, dete</w:t>
      </w:r>
      <w:r w:rsidR="00C85314" w:rsidRPr="009A2C29">
        <w:rPr>
          <w:szCs w:val="24"/>
        </w:rPr>
        <w:t xml:space="preserve">rmining the number of </w:t>
      </w:r>
      <w:proofErr w:type="spellStart"/>
      <w:r w:rsidR="00C85314" w:rsidRPr="009A2C29">
        <w:rPr>
          <w:szCs w:val="24"/>
        </w:rPr>
        <w:t>quantiles</w:t>
      </w:r>
      <w:proofErr w:type="spellEnd"/>
      <w:r w:rsidR="00C85314" w:rsidRPr="009A2C29">
        <w:rPr>
          <w:szCs w:val="24"/>
        </w:rPr>
        <w:t xml:space="preserve">, choosing between CRSP </w:t>
      </w:r>
      <w:r w:rsidR="006974EA" w:rsidRPr="009A2C29">
        <w:rPr>
          <w:szCs w:val="24"/>
        </w:rPr>
        <w:t>and</w:t>
      </w:r>
      <w:r w:rsidR="00C85314" w:rsidRPr="009A2C29">
        <w:rPr>
          <w:szCs w:val="24"/>
        </w:rPr>
        <w:t xml:space="preserve"> NYSE breakpoints</w:t>
      </w:r>
      <w:r w:rsidR="00053B4B" w:rsidRPr="009A2C29">
        <w:rPr>
          <w:szCs w:val="24"/>
        </w:rPr>
        <w:t>, determining the f</w:t>
      </w:r>
      <w:r w:rsidR="00192304" w:rsidRPr="009A2C29">
        <w:rPr>
          <w:szCs w:val="24"/>
        </w:rPr>
        <w:t>requency of portfolio rebalancing</w:t>
      </w:r>
      <w:r w:rsidR="00053B4B" w:rsidRPr="009A2C29">
        <w:rPr>
          <w:szCs w:val="24"/>
        </w:rPr>
        <w:t xml:space="preserve">, </w:t>
      </w:r>
      <w:r w:rsidR="00C85314" w:rsidRPr="009A2C29">
        <w:rPr>
          <w:szCs w:val="24"/>
        </w:rPr>
        <w:t>and m</w:t>
      </w:r>
      <w:r w:rsidR="00192304" w:rsidRPr="009A2C29">
        <w:rPr>
          <w:szCs w:val="24"/>
        </w:rPr>
        <w:t>any others</w:t>
      </w:r>
      <w:r w:rsidR="00993792" w:rsidRPr="009A2C29">
        <w:rPr>
          <w:szCs w:val="24"/>
        </w:rPr>
        <w:t xml:space="preserve">.  </w:t>
      </w:r>
      <w:r w:rsidR="00192304" w:rsidRPr="009A2C29">
        <w:rPr>
          <w:szCs w:val="24"/>
        </w:rPr>
        <w:t>Typically</w:t>
      </w:r>
      <w:r w:rsidR="00C85314" w:rsidRPr="009A2C29">
        <w:rPr>
          <w:szCs w:val="24"/>
        </w:rPr>
        <w:t xml:space="preserve">, the </w:t>
      </w:r>
      <w:r w:rsidR="00053B4B" w:rsidRPr="009A2C29">
        <w:rPr>
          <w:szCs w:val="24"/>
        </w:rPr>
        <w:t xml:space="preserve">alternative choices are </w:t>
      </w:r>
      <w:r w:rsidR="00C85314" w:rsidRPr="009A2C29">
        <w:rPr>
          <w:szCs w:val="24"/>
        </w:rPr>
        <w:t xml:space="preserve">not </w:t>
      </w:r>
      <w:r w:rsidR="00053B4B" w:rsidRPr="009A2C29">
        <w:rPr>
          <w:szCs w:val="24"/>
        </w:rPr>
        <w:t>controversial</w:t>
      </w:r>
      <w:r w:rsidR="00C85314" w:rsidRPr="009A2C29">
        <w:rPr>
          <w:szCs w:val="24"/>
        </w:rPr>
        <w:t xml:space="preserve"> and commonly recur in the</w:t>
      </w:r>
      <w:r w:rsidR="00192304" w:rsidRPr="009A2C29">
        <w:rPr>
          <w:szCs w:val="24"/>
        </w:rPr>
        <w:t xml:space="preserve"> literature</w:t>
      </w:r>
      <w:r w:rsidR="00993792" w:rsidRPr="009A2C29">
        <w:rPr>
          <w:szCs w:val="24"/>
        </w:rPr>
        <w:t xml:space="preserve">.  </w:t>
      </w:r>
      <w:r w:rsidR="00053B4B" w:rsidRPr="009A2C29">
        <w:rPr>
          <w:szCs w:val="24"/>
        </w:rPr>
        <w:t xml:space="preserve">For example, </w:t>
      </w:r>
      <w:proofErr w:type="spellStart"/>
      <w:r w:rsidR="00053B4B" w:rsidRPr="009A2C29">
        <w:rPr>
          <w:szCs w:val="24"/>
        </w:rPr>
        <w:t>Fama</w:t>
      </w:r>
      <w:proofErr w:type="spellEnd"/>
      <w:r w:rsidR="00053B4B" w:rsidRPr="009A2C29">
        <w:rPr>
          <w:szCs w:val="24"/>
        </w:rPr>
        <w:t xml:space="preserve"> and French (2008) form quinti</w:t>
      </w:r>
      <w:r w:rsidR="00D867A3" w:rsidRPr="009A2C29">
        <w:rPr>
          <w:szCs w:val="24"/>
        </w:rPr>
        <w:t>le portfolios and report equal</w:t>
      </w:r>
      <w:r w:rsidR="00053B4B" w:rsidRPr="009A2C29">
        <w:rPr>
          <w:szCs w:val="24"/>
        </w:rPr>
        <w:t>-weighted portfolio returns in addition to value-weighted returns</w:t>
      </w:r>
      <w:r w:rsidR="00993792" w:rsidRPr="009A2C29">
        <w:rPr>
          <w:szCs w:val="24"/>
        </w:rPr>
        <w:t xml:space="preserve">.  </w:t>
      </w:r>
      <w:r w:rsidR="00053B4B" w:rsidRPr="009A2C29">
        <w:rPr>
          <w:szCs w:val="24"/>
        </w:rPr>
        <w:t xml:space="preserve">On the other hand, </w:t>
      </w:r>
      <w:proofErr w:type="spellStart"/>
      <w:r w:rsidR="00053B4B" w:rsidRPr="009A2C29">
        <w:rPr>
          <w:szCs w:val="24"/>
        </w:rPr>
        <w:t>Pasquariello</w:t>
      </w:r>
      <w:proofErr w:type="spellEnd"/>
      <w:r w:rsidR="00053B4B" w:rsidRPr="009A2C29">
        <w:rPr>
          <w:szCs w:val="24"/>
        </w:rPr>
        <w:t xml:space="preserve"> (2014) forms </w:t>
      </w:r>
      <w:proofErr w:type="spellStart"/>
      <w:r w:rsidR="00053B4B" w:rsidRPr="009A2C29">
        <w:rPr>
          <w:szCs w:val="24"/>
        </w:rPr>
        <w:t>decile</w:t>
      </w:r>
      <w:proofErr w:type="spellEnd"/>
      <w:r w:rsidR="00053B4B" w:rsidRPr="009A2C29">
        <w:rPr>
          <w:szCs w:val="24"/>
        </w:rPr>
        <w:t xml:space="preserve"> portfolios</w:t>
      </w:r>
      <w:r w:rsidR="0069607A" w:rsidRPr="009A2C29">
        <w:rPr>
          <w:szCs w:val="24"/>
        </w:rPr>
        <w:t xml:space="preserve"> and </w:t>
      </w:r>
      <w:r w:rsidR="00053B4B" w:rsidRPr="009A2C29">
        <w:rPr>
          <w:szCs w:val="24"/>
        </w:rPr>
        <w:t xml:space="preserve">reports </w:t>
      </w:r>
      <w:r w:rsidR="0069607A" w:rsidRPr="009A2C29">
        <w:rPr>
          <w:szCs w:val="24"/>
        </w:rPr>
        <w:t xml:space="preserve">only </w:t>
      </w:r>
      <w:r w:rsidR="00053B4B" w:rsidRPr="009A2C29">
        <w:rPr>
          <w:szCs w:val="24"/>
        </w:rPr>
        <w:t xml:space="preserve">value-weighted </w:t>
      </w:r>
      <w:r w:rsidR="00993792" w:rsidRPr="009A2C29">
        <w:rPr>
          <w:szCs w:val="24"/>
        </w:rPr>
        <w:t xml:space="preserve">returns.  </w:t>
      </w:r>
      <w:proofErr w:type="spellStart"/>
      <w:proofErr w:type="gramStart"/>
      <w:r w:rsidR="00053B4B" w:rsidRPr="009A2C29">
        <w:rPr>
          <w:szCs w:val="24"/>
        </w:rPr>
        <w:t>Ang</w:t>
      </w:r>
      <w:proofErr w:type="spellEnd"/>
      <w:r w:rsidR="00993792" w:rsidRPr="009A2C29">
        <w:rPr>
          <w:szCs w:val="24"/>
        </w:rPr>
        <w:t xml:space="preserve"> et al.</w:t>
      </w:r>
      <w:r w:rsidR="00D867A3" w:rsidRPr="009A2C29">
        <w:rPr>
          <w:szCs w:val="24"/>
        </w:rPr>
        <w:t xml:space="preserve"> (2006</w:t>
      </w:r>
      <w:r w:rsidR="00053B4B" w:rsidRPr="009A2C29">
        <w:rPr>
          <w:szCs w:val="24"/>
        </w:rPr>
        <w:t>) form quintile portf</w:t>
      </w:r>
      <w:r w:rsidR="00D867A3" w:rsidRPr="009A2C29">
        <w:rPr>
          <w:szCs w:val="24"/>
        </w:rPr>
        <w:t>olios and report only</w:t>
      </w:r>
      <w:r w:rsidR="00C85314" w:rsidRPr="009A2C29">
        <w:rPr>
          <w:szCs w:val="24"/>
        </w:rPr>
        <w:t xml:space="preserve"> </w:t>
      </w:r>
      <w:r w:rsidR="00297B19" w:rsidRPr="009A2C29">
        <w:rPr>
          <w:szCs w:val="24"/>
        </w:rPr>
        <w:t>value</w:t>
      </w:r>
      <w:r w:rsidR="00993792" w:rsidRPr="009A2C29">
        <w:rPr>
          <w:szCs w:val="24"/>
        </w:rPr>
        <w:t>-</w:t>
      </w:r>
      <w:r w:rsidR="00053B4B" w:rsidRPr="009A2C29">
        <w:rPr>
          <w:szCs w:val="24"/>
        </w:rPr>
        <w:t>weighted returns</w:t>
      </w:r>
      <w:r w:rsidR="00993792" w:rsidRPr="009A2C29">
        <w:rPr>
          <w:szCs w:val="24"/>
        </w:rPr>
        <w:t>.</w:t>
      </w:r>
      <w:proofErr w:type="gramEnd"/>
      <w:r w:rsidR="00993792" w:rsidRPr="009A2C29">
        <w:rPr>
          <w:szCs w:val="24"/>
        </w:rPr>
        <w:t xml:space="preserve">  </w:t>
      </w:r>
      <w:proofErr w:type="spellStart"/>
      <w:r w:rsidR="00053B4B" w:rsidRPr="009A2C29">
        <w:rPr>
          <w:szCs w:val="24"/>
        </w:rPr>
        <w:t>Fama</w:t>
      </w:r>
      <w:proofErr w:type="spellEnd"/>
      <w:r w:rsidR="00053B4B" w:rsidRPr="009A2C29">
        <w:rPr>
          <w:szCs w:val="24"/>
        </w:rPr>
        <w:t xml:space="preserve"> and French (1993) rebalance their portfolios annually</w:t>
      </w:r>
      <w:r w:rsidR="00C85314" w:rsidRPr="009A2C29">
        <w:rPr>
          <w:szCs w:val="24"/>
        </w:rPr>
        <w:t>,</w:t>
      </w:r>
      <w:r w:rsidR="00053B4B" w:rsidRPr="009A2C29">
        <w:rPr>
          <w:szCs w:val="24"/>
        </w:rPr>
        <w:t xml:space="preserve"> while </w:t>
      </w:r>
      <w:proofErr w:type="spellStart"/>
      <w:r w:rsidR="00053B4B" w:rsidRPr="009A2C29">
        <w:rPr>
          <w:szCs w:val="24"/>
        </w:rPr>
        <w:t>Jegadeesh</w:t>
      </w:r>
      <w:proofErr w:type="spellEnd"/>
      <w:r w:rsidR="00053B4B" w:rsidRPr="009A2C29">
        <w:rPr>
          <w:szCs w:val="24"/>
        </w:rPr>
        <w:t xml:space="preserve"> and Titman (1993) r</w:t>
      </w:r>
      <w:r w:rsidR="00C85314" w:rsidRPr="009A2C29">
        <w:rPr>
          <w:szCs w:val="24"/>
        </w:rPr>
        <w:t>ebalance monthly</w:t>
      </w:r>
      <w:r w:rsidR="00993792" w:rsidRPr="009A2C29">
        <w:rPr>
          <w:szCs w:val="24"/>
        </w:rPr>
        <w:t xml:space="preserve">.  </w:t>
      </w:r>
      <w:r w:rsidR="00C85314" w:rsidRPr="009A2C29">
        <w:rPr>
          <w:szCs w:val="24"/>
        </w:rPr>
        <w:t>T</w:t>
      </w:r>
      <w:r w:rsidR="00521CBA" w:rsidRPr="009A2C29">
        <w:rPr>
          <w:szCs w:val="24"/>
        </w:rPr>
        <w:t xml:space="preserve">hese valid design </w:t>
      </w:r>
      <w:r w:rsidR="00A44226" w:rsidRPr="009A2C29">
        <w:rPr>
          <w:szCs w:val="24"/>
        </w:rPr>
        <w:t>decisions</w:t>
      </w:r>
      <w:r w:rsidR="00C85314" w:rsidRPr="009A2C29">
        <w:rPr>
          <w:szCs w:val="24"/>
        </w:rPr>
        <w:t>, however,</w:t>
      </w:r>
      <w:r w:rsidR="00A44226" w:rsidRPr="009A2C29">
        <w:rPr>
          <w:szCs w:val="24"/>
        </w:rPr>
        <w:t xml:space="preserve"> can materially</w:t>
      </w:r>
      <w:r w:rsidR="00053B4B" w:rsidRPr="009A2C29">
        <w:rPr>
          <w:szCs w:val="24"/>
        </w:rPr>
        <w:t xml:space="preserve"> affect the economic and statistical significance of parameter estimates, </w:t>
      </w:r>
      <w:r w:rsidR="0069607A" w:rsidRPr="009A2C29">
        <w:rPr>
          <w:szCs w:val="24"/>
        </w:rPr>
        <w:t>and in turn alter</w:t>
      </w:r>
      <w:r w:rsidR="00053B4B" w:rsidRPr="009A2C29">
        <w:rPr>
          <w:szCs w:val="24"/>
        </w:rPr>
        <w:t xml:space="preserve"> the interpretation of the results</w:t>
      </w:r>
      <w:r w:rsidR="00993792" w:rsidRPr="009A2C29">
        <w:rPr>
          <w:szCs w:val="24"/>
        </w:rPr>
        <w:t xml:space="preserve">.  </w:t>
      </w:r>
      <w:r w:rsidR="00053B4B" w:rsidRPr="009A2C29">
        <w:rPr>
          <w:szCs w:val="24"/>
        </w:rPr>
        <w:t xml:space="preserve">The purpose of this study is to examine </w:t>
      </w:r>
      <w:r w:rsidR="00A44226" w:rsidRPr="009A2C29">
        <w:rPr>
          <w:szCs w:val="24"/>
        </w:rPr>
        <w:t xml:space="preserve">and quantify </w:t>
      </w:r>
      <w:r w:rsidR="00053B4B" w:rsidRPr="009A2C29">
        <w:rPr>
          <w:szCs w:val="24"/>
        </w:rPr>
        <w:t>the impa</w:t>
      </w:r>
      <w:r w:rsidR="00C85314" w:rsidRPr="009A2C29">
        <w:rPr>
          <w:szCs w:val="24"/>
        </w:rPr>
        <w:t xml:space="preserve">ct </w:t>
      </w:r>
      <w:r w:rsidR="00053B4B" w:rsidRPr="009A2C29">
        <w:rPr>
          <w:szCs w:val="24"/>
        </w:rPr>
        <w:t>different design decisions can have on infere</w:t>
      </w:r>
      <w:r w:rsidR="00A44226" w:rsidRPr="009A2C29">
        <w:rPr>
          <w:szCs w:val="24"/>
        </w:rPr>
        <w:t>nce</w:t>
      </w:r>
      <w:r w:rsidR="00053B4B" w:rsidRPr="009A2C29">
        <w:rPr>
          <w:szCs w:val="24"/>
        </w:rPr>
        <w:t>.</w:t>
      </w:r>
    </w:p>
    <w:p w14:paraId="67520D05" w14:textId="3A7696E7" w:rsidR="00521CBA" w:rsidRPr="001E192F" w:rsidRDefault="00C85314" w:rsidP="009A2C29">
      <w:pPr>
        <w:spacing w:after="0" w:line="360" w:lineRule="auto"/>
        <w:rPr>
          <w:szCs w:val="24"/>
        </w:rPr>
      </w:pPr>
      <w:r w:rsidRPr="001E192F">
        <w:rPr>
          <w:szCs w:val="24"/>
        </w:rPr>
        <w:t xml:space="preserve">A seminal study </w:t>
      </w:r>
      <w:r w:rsidR="00053B4B" w:rsidRPr="001E192F">
        <w:rPr>
          <w:szCs w:val="24"/>
        </w:rPr>
        <w:t xml:space="preserve">by </w:t>
      </w:r>
      <w:proofErr w:type="spellStart"/>
      <w:r w:rsidR="00053B4B" w:rsidRPr="001E192F">
        <w:rPr>
          <w:szCs w:val="24"/>
        </w:rPr>
        <w:t>Ang</w:t>
      </w:r>
      <w:proofErr w:type="spellEnd"/>
      <w:r w:rsidR="00993792" w:rsidRPr="001E192F">
        <w:rPr>
          <w:szCs w:val="24"/>
        </w:rPr>
        <w:t xml:space="preserve"> et al.</w:t>
      </w:r>
      <w:r w:rsidR="00A91D88" w:rsidRPr="001E192F">
        <w:rPr>
          <w:szCs w:val="24"/>
        </w:rPr>
        <w:t xml:space="preserve"> (2006</w:t>
      </w:r>
      <w:r w:rsidRPr="001E192F">
        <w:rPr>
          <w:szCs w:val="24"/>
        </w:rPr>
        <w:t xml:space="preserve">) relating </w:t>
      </w:r>
      <w:r w:rsidR="00053B4B" w:rsidRPr="001E192F">
        <w:rPr>
          <w:szCs w:val="24"/>
        </w:rPr>
        <w:t xml:space="preserve">idiosyncratic volatility </w:t>
      </w:r>
      <w:r w:rsidRPr="001E192F">
        <w:rPr>
          <w:szCs w:val="24"/>
        </w:rPr>
        <w:t>to portfolio returns uncovered</w:t>
      </w:r>
      <w:r w:rsidR="00053B4B" w:rsidRPr="001E192F">
        <w:rPr>
          <w:szCs w:val="24"/>
        </w:rPr>
        <w:t xml:space="preserve"> an empirical puzzle that has spurred a large </w:t>
      </w:r>
      <w:r w:rsidRPr="001E192F">
        <w:rPr>
          <w:szCs w:val="24"/>
        </w:rPr>
        <w:t xml:space="preserve">body of </w:t>
      </w:r>
      <w:r w:rsidR="00053B4B" w:rsidRPr="001E192F">
        <w:rPr>
          <w:szCs w:val="24"/>
        </w:rPr>
        <w:t>literature</w:t>
      </w:r>
      <w:r w:rsidR="00993792" w:rsidRPr="001E192F">
        <w:rPr>
          <w:szCs w:val="24"/>
        </w:rPr>
        <w:t xml:space="preserve">.  </w:t>
      </w:r>
      <w:proofErr w:type="spellStart"/>
      <w:r w:rsidR="00053B4B" w:rsidRPr="001E192F">
        <w:rPr>
          <w:szCs w:val="24"/>
        </w:rPr>
        <w:t>Ang</w:t>
      </w:r>
      <w:proofErr w:type="spellEnd"/>
      <w:r w:rsidR="00053B4B" w:rsidRPr="001E192F">
        <w:rPr>
          <w:szCs w:val="24"/>
        </w:rPr>
        <w:t xml:space="preserve"> </w:t>
      </w:r>
      <w:r w:rsidR="002E005B" w:rsidRPr="001E192F">
        <w:rPr>
          <w:szCs w:val="24"/>
        </w:rPr>
        <w:t xml:space="preserve">et al. </w:t>
      </w:r>
      <w:r w:rsidR="00053B4B" w:rsidRPr="001E192F">
        <w:rPr>
          <w:szCs w:val="24"/>
        </w:rPr>
        <w:t>(2006) report a large, statistically significant</w:t>
      </w:r>
      <w:r w:rsidR="0069607A" w:rsidRPr="001E192F">
        <w:rPr>
          <w:szCs w:val="24"/>
        </w:rPr>
        <w:t>,</w:t>
      </w:r>
      <w:r w:rsidR="00053B4B" w:rsidRPr="001E192F">
        <w:rPr>
          <w:szCs w:val="24"/>
        </w:rPr>
        <w:t xml:space="preserve"> negative relation between </w:t>
      </w:r>
      <w:r w:rsidR="00875881" w:rsidRPr="001E192F">
        <w:rPr>
          <w:szCs w:val="24"/>
        </w:rPr>
        <w:t xml:space="preserve">idiosyncratic </w:t>
      </w:r>
      <w:r w:rsidR="00053B4B" w:rsidRPr="001E192F">
        <w:rPr>
          <w:szCs w:val="24"/>
        </w:rPr>
        <w:t>risk and returns</w:t>
      </w:r>
      <w:r w:rsidR="00993792" w:rsidRPr="001E192F">
        <w:rPr>
          <w:szCs w:val="24"/>
        </w:rPr>
        <w:t xml:space="preserve">.  </w:t>
      </w:r>
      <w:r w:rsidR="00521CBA" w:rsidRPr="001E192F">
        <w:rPr>
          <w:szCs w:val="24"/>
        </w:rPr>
        <w:t>We use the empirical evidence produced by subsequent studies of idiosyncratic volatility as guidance for our methodological approach to examine the impact of empirical asset pricing test design decisions on inference.</w:t>
      </w:r>
    </w:p>
    <w:p w14:paraId="203DA6B2" w14:textId="7287F9CD" w:rsidR="00C42A11" w:rsidRPr="001E192F" w:rsidRDefault="00521CBA" w:rsidP="009A2C29">
      <w:pPr>
        <w:spacing w:after="0" w:line="360" w:lineRule="auto"/>
        <w:rPr>
          <w:szCs w:val="24"/>
        </w:rPr>
      </w:pPr>
      <w:r w:rsidRPr="001E192F">
        <w:rPr>
          <w:szCs w:val="24"/>
        </w:rPr>
        <w:t xml:space="preserve">Because </w:t>
      </w:r>
      <w:proofErr w:type="spellStart"/>
      <w:r w:rsidRPr="001E192F">
        <w:rPr>
          <w:szCs w:val="24"/>
        </w:rPr>
        <w:t>Ang</w:t>
      </w:r>
      <w:proofErr w:type="spellEnd"/>
      <w:r w:rsidRPr="001E192F">
        <w:rPr>
          <w:szCs w:val="24"/>
        </w:rPr>
        <w:t xml:space="preserve"> </w:t>
      </w:r>
      <w:r w:rsidR="002E005B" w:rsidRPr="001E192F">
        <w:rPr>
          <w:szCs w:val="24"/>
        </w:rPr>
        <w:t xml:space="preserve">et al. </w:t>
      </w:r>
      <w:r w:rsidRPr="001E192F">
        <w:rPr>
          <w:szCs w:val="24"/>
        </w:rPr>
        <w:t xml:space="preserve">(2006) laid the foundation for idiosyncratic volatility </w:t>
      </w:r>
      <w:proofErr w:type="gramStart"/>
      <w:r w:rsidRPr="001E192F">
        <w:rPr>
          <w:szCs w:val="24"/>
        </w:rPr>
        <w:t>literature</w:t>
      </w:r>
      <w:r w:rsidR="00053B4B" w:rsidRPr="001E192F">
        <w:rPr>
          <w:szCs w:val="24"/>
        </w:rPr>
        <w:t>,</w:t>
      </w:r>
      <w:proofErr w:type="gramEnd"/>
      <w:r w:rsidR="00053B4B" w:rsidRPr="001E192F">
        <w:rPr>
          <w:szCs w:val="24"/>
        </w:rPr>
        <w:t xml:space="preserve"> w</w:t>
      </w:r>
      <w:r w:rsidRPr="001E192F">
        <w:rPr>
          <w:szCs w:val="24"/>
        </w:rPr>
        <w:t>e take the design decisions of that study</w:t>
      </w:r>
      <w:r w:rsidR="00875881" w:rsidRPr="001E192F">
        <w:rPr>
          <w:szCs w:val="24"/>
        </w:rPr>
        <w:t xml:space="preserve"> </w:t>
      </w:r>
      <w:r w:rsidR="00053B4B" w:rsidRPr="001E192F">
        <w:rPr>
          <w:szCs w:val="24"/>
        </w:rPr>
        <w:t>as t</w:t>
      </w:r>
      <w:r w:rsidR="00C42A11" w:rsidRPr="001E192F">
        <w:rPr>
          <w:szCs w:val="24"/>
        </w:rPr>
        <w:t xml:space="preserve">he “benchmark” against which we </w:t>
      </w:r>
      <w:r w:rsidR="00053B4B" w:rsidRPr="001E192F">
        <w:rPr>
          <w:szCs w:val="24"/>
        </w:rPr>
        <w:t xml:space="preserve">measure the impact of various </w:t>
      </w:r>
      <w:r w:rsidR="00875881" w:rsidRPr="001E192F">
        <w:rPr>
          <w:szCs w:val="24"/>
        </w:rPr>
        <w:t xml:space="preserve">other </w:t>
      </w:r>
      <w:r w:rsidR="00C42A11" w:rsidRPr="001E192F">
        <w:rPr>
          <w:szCs w:val="24"/>
        </w:rPr>
        <w:t>design decisions</w:t>
      </w:r>
      <w:r w:rsidR="00993792" w:rsidRPr="001E192F">
        <w:rPr>
          <w:szCs w:val="24"/>
        </w:rPr>
        <w:t xml:space="preserve">.  </w:t>
      </w:r>
      <w:r w:rsidR="00C42A11" w:rsidRPr="001E192F">
        <w:rPr>
          <w:szCs w:val="24"/>
        </w:rPr>
        <w:t xml:space="preserve">We </w:t>
      </w:r>
      <w:r w:rsidR="0013100E" w:rsidRPr="001E192F">
        <w:rPr>
          <w:szCs w:val="24"/>
        </w:rPr>
        <w:t>then seek to identify the effect</w:t>
      </w:r>
      <w:r w:rsidR="00C42A11" w:rsidRPr="001E192F">
        <w:rPr>
          <w:szCs w:val="24"/>
        </w:rPr>
        <w:t xml:space="preserve"> of</w:t>
      </w:r>
      <w:r w:rsidR="00053B4B" w:rsidRPr="001E192F">
        <w:rPr>
          <w:szCs w:val="24"/>
        </w:rPr>
        <w:t xml:space="preserve"> </w:t>
      </w:r>
      <w:r w:rsidR="00C42A11" w:rsidRPr="001E192F">
        <w:rPr>
          <w:szCs w:val="24"/>
        </w:rPr>
        <w:t xml:space="preserve">empirical asset pricing test </w:t>
      </w:r>
      <w:r w:rsidR="00053B4B" w:rsidRPr="001E192F">
        <w:rPr>
          <w:szCs w:val="24"/>
        </w:rPr>
        <w:t>design decis</w:t>
      </w:r>
      <w:r w:rsidR="00875881" w:rsidRPr="001E192F">
        <w:rPr>
          <w:szCs w:val="24"/>
        </w:rPr>
        <w:t>ion</w:t>
      </w:r>
      <w:r w:rsidR="00C42A11" w:rsidRPr="001E192F">
        <w:rPr>
          <w:szCs w:val="24"/>
        </w:rPr>
        <w:t>s on inference by quantifying</w:t>
      </w:r>
      <w:r w:rsidR="00053B4B" w:rsidRPr="001E192F">
        <w:rPr>
          <w:szCs w:val="24"/>
        </w:rPr>
        <w:t xml:space="preserve"> the impact </w:t>
      </w:r>
      <w:r w:rsidR="00C42A11" w:rsidRPr="001E192F">
        <w:rPr>
          <w:szCs w:val="24"/>
        </w:rPr>
        <w:t xml:space="preserve">of various designs on the magnitude of </w:t>
      </w:r>
      <w:r w:rsidR="00053B4B" w:rsidRPr="001E192F">
        <w:rPr>
          <w:szCs w:val="24"/>
        </w:rPr>
        <w:t>estimated portfolio alpha</w:t>
      </w:r>
      <w:r w:rsidR="00C42A11" w:rsidRPr="001E192F">
        <w:rPr>
          <w:szCs w:val="24"/>
        </w:rPr>
        <w:t>s</w:t>
      </w:r>
      <w:r w:rsidR="00993792" w:rsidRPr="001E192F">
        <w:rPr>
          <w:szCs w:val="24"/>
        </w:rPr>
        <w:t xml:space="preserve">.  </w:t>
      </w:r>
    </w:p>
    <w:p w14:paraId="2B46E115" w14:textId="4F230E8E" w:rsidR="00053B4B" w:rsidRPr="001E192F" w:rsidRDefault="0069607A" w:rsidP="009A2C29">
      <w:pPr>
        <w:spacing w:after="0" w:line="360" w:lineRule="auto"/>
        <w:rPr>
          <w:szCs w:val="24"/>
        </w:rPr>
      </w:pPr>
      <w:r w:rsidRPr="001E192F">
        <w:rPr>
          <w:szCs w:val="24"/>
        </w:rPr>
        <w:t xml:space="preserve">Portfolio tests, as opposed to cross-sectional regressions, </w:t>
      </w:r>
      <w:r w:rsidR="00053B4B" w:rsidRPr="001E192F">
        <w:rPr>
          <w:szCs w:val="24"/>
        </w:rPr>
        <w:t>are commonly used in asset pricing</w:t>
      </w:r>
      <w:r w:rsidR="00875881" w:rsidRPr="001E192F">
        <w:rPr>
          <w:szCs w:val="24"/>
        </w:rPr>
        <w:t xml:space="preserve"> studies</w:t>
      </w:r>
      <w:r w:rsidRPr="001E192F">
        <w:rPr>
          <w:szCs w:val="24"/>
        </w:rPr>
        <w:t xml:space="preserve"> </w:t>
      </w:r>
      <w:r w:rsidR="00053B4B" w:rsidRPr="001E192F">
        <w:rPr>
          <w:szCs w:val="24"/>
        </w:rPr>
        <w:t xml:space="preserve">because the point estimate of the portfolio alpha has economic significance in </w:t>
      </w:r>
      <w:r w:rsidR="00053B4B" w:rsidRPr="001E192F">
        <w:rPr>
          <w:szCs w:val="24"/>
        </w:rPr>
        <w:lastRenderedPageBreak/>
        <w:t>addition to statistical significance</w:t>
      </w:r>
      <w:r w:rsidR="00993792" w:rsidRPr="001E192F">
        <w:rPr>
          <w:szCs w:val="24"/>
        </w:rPr>
        <w:t xml:space="preserve">.  </w:t>
      </w:r>
      <w:r w:rsidRPr="001E192F">
        <w:rPr>
          <w:szCs w:val="24"/>
        </w:rPr>
        <w:t>A portfolio’s</w:t>
      </w:r>
      <w:r w:rsidR="00053B4B" w:rsidRPr="001E192F">
        <w:rPr>
          <w:szCs w:val="24"/>
        </w:rPr>
        <w:t xml:space="preserve"> alpha is the average return from an investment strategy, controlling for other known strategies and risk</w:t>
      </w:r>
      <w:r w:rsidR="00993792" w:rsidRPr="001E192F">
        <w:rPr>
          <w:szCs w:val="24"/>
        </w:rPr>
        <w:t xml:space="preserve">.  </w:t>
      </w:r>
      <w:proofErr w:type="spellStart"/>
      <w:r w:rsidR="00053B4B" w:rsidRPr="001E192F">
        <w:rPr>
          <w:szCs w:val="24"/>
        </w:rPr>
        <w:t>Ang</w:t>
      </w:r>
      <w:proofErr w:type="spellEnd"/>
      <w:r w:rsidR="00053B4B" w:rsidRPr="001E192F">
        <w:rPr>
          <w:szCs w:val="24"/>
        </w:rPr>
        <w:t xml:space="preserve"> </w:t>
      </w:r>
      <w:r w:rsidR="002E005B" w:rsidRPr="001E192F">
        <w:rPr>
          <w:szCs w:val="24"/>
        </w:rPr>
        <w:t xml:space="preserve">et al. </w:t>
      </w:r>
      <w:r w:rsidR="00053B4B" w:rsidRPr="001E192F">
        <w:rPr>
          <w:szCs w:val="24"/>
        </w:rPr>
        <w:t>(2006) report the alpha for a zero-investment strategy that shorts stocks with low idiosyncratic volatility and uses the proceeds to purchase stocks with high idiosyncratic volatility</w:t>
      </w:r>
      <w:r w:rsidR="00993792" w:rsidRPr="001E192F">
        <w:rPr>
          <w:szCs w:val="24"/>
        </w:rPr>
        <w:t xml:space="preserve">.  </w:t>
      </w:r>
      <w:r w:rsidR="00053B4B" w:rsidRPr="001E192F">
        <w:rPr>
          <w:szCs w:val="24"/>
        </w:rPr>
        <w:t>Their strategy has a monthly portfolio alpha of -1.31% (</w:t>
      </w:r>
      <w:proofErr w:type="spellStart"/>
      <w:r w:rsidR="00053B4B" w:rsidRPr="001E192F">
        <w:rPr>
          <w:szCs w:val="24"/>
        </w:rPr>
        <w:t>Ang</w:t>
      </w:r>
      <w:proofErr w:type="spellEnd"/>
      <w:r w:rsidR="00053B4B" w:rsidRPr="001E192F">
        <w:rPr>
          <w:szCs w:val="24"/>
        </w:rPr>
        <w:t xml:space="preserve"> et al</w:t>
      </w:r>
      <w:r w:rsidR="00993792" w:rsidRPr="001E192F">
        <w:rPr>
          <w:szCs w:val="24"/>
        </w:rPr>
        <w:t>.</w:t>
      </w:r>
      <w:r w:rsidR="002E005B" w:rsidRPr="001E192F">
        <w:rPr>
          <w:szCs w:val="24"/>
        </w:rPr>
        <w:t>,</w:t>
      </w:r>
      <w:r w:rsidR="00993792" w:rsidRPr="001E192F">
        <w:rPr>
          <w:szCs w:val="24"/>
        </w:rPr>
        <w:t xml:space="preserve"> </w:t>
      </w:r>
      <w:r w:rsidR="00053B4B" w:rsidRPr="001E192F">
        <w:rPr>
          <w:szCs w:val="24"/>
        </w:rPr>
        <w:t>2006</w:t>
      </w:r>
      <w:r w:rsidR="002E005B" w:rsidRPr="001E192F">
        <w:rPr>
          <w:szCs w:val="24"/>
        </w:rPr>
        <w:t>,</w:t>
      </w:r>
      <w:r w:rsidR="00053B4B" w:rsidRPr="001E192F">
        <w:rPr>
          <w:szCs w:val="24"/>
        </w:rPr>
        <w:t xml:space="preserve"> p.285, Table VI)</w:t>
      </w:r>
      <w:r w:rsidR="00993792" w:rsidRPr="001E192F">
        <w:rPr>
          <w:szCs w:val="24"/>
        </w:rPr>
        <w:t xml:space="preserve">.  </w:t>
      </w:r>
      <w:r w:rsidR="00053B4B" w:rsidRPr="001E192F">
        <w:rPr>
          <w:szCs w:val="24"/>
        </w:rPr>
        <w:t xml:space="preserve">The purpose of </w:t>
      </w:r>
      <w:r w:rsidR="00D22401" w:rsidRPr="001E192F">
        <w:rPr>
          <w:szCs w:val="24"/>
        </w:rPr>
        <w:t>our study is to examine how the</w:t>
      </w:r>
      <w:r w:rsidR="00053B4B" w:rsidRPr="001E192F">
        <w:rPr>
          <w:szCs w:val="24"/>
        </w:rPr>
        <w:t xml:space="preserve"> monthly </w:t>
      </w:r>
      <w:r w:rsidRPr="001E192F">
        <w:rPr>
          <w:szCs w:val="24"/>
        </w:rPr>
        <w:t xml:space="preserve">portfolio </w:t>
      </w:r>
      <w:r w:rsidR="00053B4B" w:rsidRPr="001E192F">
        <w:rPr>
          <w:szCs w:val="24"/>
        </w:rPr>
        <w:t xml:space="preserve">alpha changes as we change the </w:t>
      </w:r>
      <w:r w:rsidR="00D22401" w:rsidRPr="001E192F">
        <w:rPr>
          <w:szCs w:val="24"/>
        </w:rPr>
        <w:t>test to include</w:t>
      </w:r>
      <w:r w:rsidR="00053B4B" w:rsidRPr="001E192F">
        <w:rPr>
          <w:szCs w:val="24"/>
        </w:rPr>
        <w:t xml:space="preserve"> uncont</w:t>
      </w:r>
      <w:r w:rsidR="004A2399" w:rsidRPr="001E192F">
        <w:rPr>
          <w:szCs w:val="24"/>
        </w:rPr>
        <w:t>roversial, yet subtly different</w:t>
      </w:r>
      <w:r w:rsidR="00053B4B" w:rsidRPr="001E192F">
        <w:rPr>
          <w:szCs w:val="24"/>
        </w:rPr>
        <w:t xml:space="preserve"> designs.</w:t>
      </w:r>
    </w:p>
    <w:p w14:paraId="0DCA31AC" w14:textId="162CAF86" w:rsidR="004A2399" w:rsidRPr="001E192F" w:rsidRDefault="00D22401" w:rsidP="009A2C29">
      <w:pPr>
        <w:spacing w:after="0" w:line="360" w:lineRule="auto"/>
        <w:rPr>
          <w:szCs w:val="24"/>
        </w:rPr>
      </w:pPr>
      <w:r w:rsidRPr="001E192F">
        <w:rPr>
          <w:szCs w:val="24"/>
        </w:rPr>
        <w:t>T</w:t>
      </w:r>
      <w:r w:rsidR="004018CD" w:rsidRPr="001E192F">
        <w:rPr>
          <w:szCs w:val="24"/>
        </w:rPr>
        <w:t>he test designs</w:t>
      </w:r>
      <w:r w:rsidR="00053B4B" w:rsidRPr="001E192F">
        <w:rPr>
          <w:szCs w:val="24"/>
        </w:rPr>
        <w:t xml:space="preserve"> </w:t>
      </w:r>
      <w:r w:rsidR="004A2399" w:rsidRPr="001E192F">
        <w:rPr>
          <w:szCs w:val="24"/>
        </w:rPr>
        <w:t>we have chosen to analyze</w:t>
      </w:r>
      <w:r w:rsidR="004018CD" w:rsidRPr="001E192F">
        <w:rPr>
          <w:szCs w:val="24"/>
        </w:rPr>
        <w:t xml:space="preserve"> represent</w:t>
      </w:r>
      <w:r w:rsidRPr="001E192F">
        <w:rPr>
          <w:szCs w:val="24"/>
        </w:rPr>
        <w:t xml:space="preserve"> design </w:t>
      </w:r>
      <w:r w:rsidR="00053B4B" w:rsidRPr="001E192F">
        <w:rPr>
          <w:szCs w:val="24"/>
        </w:rPr>
        <w:t xml:space="preserve">decisions </w:t>
      </w:r>
      <w:r w:rsidRPr="001E192F">
        <w:rPr>
          <w:szCs w:val="24"/>
        </w:rPr>
        <w:t>that have been examined</w:t>
      </w:r>
      <w:r w:rsidR="00053B4B" w:rsidRPr="001E192F">
        <w:rPr>
          <w:szCs w:val="24"/>
        </w:rPr>
        <w:t xml:space="preserve"> </w:t>
      </w:r>
      <w:r w:rsidR="004A2399" w:rsidRPr="001E192F">
        <w:rPr>
          <w:szCs w:val="24"/>
        </w:rPr>
        <w:t xml:space="preserve">previously </w:t>
      </w:r>
      <w:r w:rsidR="00053B4B" w:rsidRPr="001E192F">
        <w:rPr>
          <w:szCs w:val="24"/>
        </w:rPr>
        <w:t>in the idiosyncratic volatility literature</w:t>
      </w:r>
      <w:r w:rsidRPr="001E192F">
        <w:rPr>
          <w:szCs w:val="24"/>
        </w:rPr>
        <w:t xml:space="preserve"> and found</w:t>
      </w:r>
      <w:r w:rsidR="00053B4B" w:rsidRPr="001E192F">
        <w:rPr>
          <w:szCs w:val="24"/>
        </w:rPr>
        <w:t xml:space="preserve"> to be </w:t>
      </w:r>
      <w:r w:rsidR="009C14F0" w:rsidRPr="001E192F">
        <w:rPr>
          <w:szCs w:val="24"/>
        </w:rPr>
        <w:t>warranted</w:t>
      </w:r>
      <w:r w:rsidRPr="001E192F">
        <w:rPr>
          <w:szCs w:val="24"/>
        </w:rPr>
        <w:t xml:space="preserve"> and </w:t>
      </w:r>
      <w:r w:rsidR="00053B4B" w:rsidRPr="001E192F">
        <w:rPr>
          <w:szCs w:val="24"/>
        </w:rPr>
        <w:t>relevant to inference</w:t>
      </w:r>
      <w:r w:rsidR="00993792" w:rsidRPr="001E192F">
        <w:rPr>
          <w:szCs w:val="24"/>
        </w:rPr>
        <w:t xml:space="preserve">.  </w:t>
      </w:r>
      <w:r w:rsidRPr="001E192F">
        <w:rPr>
          <w:szCs w:val="24"/>
        </w:rPr>
        <w:t xml:space="preserve">Because of their inclusion in the literature and </w:t>
      </w:r>
      <w:r w:rsidR="00FC4846" w:rsidRPr="001E192F">
        <w:rPr>
          <w:szCs w:val="24"/>
        </w:rPr>
        <w:t xml:space="preserve">the evidence that they are </w:t>
      </w:r>
      <w:r w:rsidR="004A2399" w:rsidRPr="001E192F">
        <w:rPr>
          <w:szCs w:val="24"/>
        </w:rPr>
        <w:t>plausibly</w:t>
      </w:r>
      <w:r w:rsidR="00053B4B" w:rsidRPr="001E192F">
        <w:rPr>
          <w:szCs w:val="24"/>
        </w:rPr>
        <w:t xml:space="preserve"> better design decision</w:t>
      </w:r>
      <w:r w:rsidR="00FC4846" w:rsidRPr="001E192F">
        <w:rPr>
          <w:szCs w:val="24"/>
        </w:rPr>
        <w:t xml:space="preserve">s, we consider </w:t>
      </w:r>
      <w:r w:rsidR="004A2399" w:rsidRPr="001E192F">
        <w:rPr>
          <w:szCs w:val="24"/>
        </w:rPr>
        <w:t xml:space="preserve">them </w:t>
      </w:r>
      <w:r w:rsidR="00FC4846" w:rsidRPr="001E192F">
        <w:rPr>
          <w:szCs w:val="24"/>
        </w:rPr>
        <w:t>to be uncontroversial</w:t>
      </w:r>
      <w:r w:rsidR="00E56DE6" w:rsidRPr="001E192F">
        <w:rPr>
          <w:szCs w:val="24"/>
        </w:rPr>
        <w:t>.</w:t>
      </w:r>
    </w:p>
    <w:p w14:paraId="302F0056" w14:textId="5276965E" w:rsidR="00E56DE6" w:rsidRPr="001E192F" w:rsidRDefault="00E56DE6" w:rsidP="009A2C29">
      <w:pPr>
        <w:spacing w:after="0" w:line="360" w:lineRule="auto"/>
        <w:rPr>
          <w:szCs w:val="24"/>
        </w:rPr>
      </w:pPr>
      <w:r w:rsidRPr="001E192F">
        <w:rPr>
          <w:szCs w:val="24"/>
        </w:rPr>
        <w:t>Our study is most similar to Chen</w:t>
      </w:r>
      <w:r w:rsidR="006803AD" w:rsidRPr="001E192F">
        <w:rPr>
          <w:szCs w:val="24"/>
        </w:rPr>
        <w:t xml:space="preserve"> et al.</w:t>
      </w:r>
      <w:r w:rsidRPr="001E192F">
        <w:rPr>
          <w:szCs w:val="24"/>
        </w:rPr>
        <w:t xml:space="preserve"> (2012), but has several important differences. </w:t>
      </w:r>
      <w:r w:rsidR="006974EA" w:rsidRPr="001E192F">
        <w:rPr>
          <w:szCs w:val="24"/>
        </w:rPr>
        <w:t xml:space="preserve"> </w:t>
      </w:r>
      <w:r w:rsidRPr="001E192F">
        <w:rPr>
          <w:szCs w:val="24"/>
        </w:rPr>
        <w:t xml:space="preserve">Primarily, we focus on the </w:t>
      </w:r>
      <w:r w:rsidR="006803AD" w:rsidRPr="001E192F">
        <w:rPr>
          <w:szCs w:val="24"/>
        </w:rPr>
        <w:t>identical</w:t>
      </w:r>
      <w:r w:rsidRPr="001E192F">
        <w:rPr>
          <w:szCs w:val="24"/>
        </w:rPr>
        <w:t xml:space="preserve"> sample as </w:t>
      </w:r>
      <w:proofErr w:type="spellStart"/>
      <w:r w:rsidRPr="001E192F">
        <w:rPr>
          <w:szCs w:val="24"/>
        </w:rPr>
        <w:t>Ang</w:t>
      </w:r>
      <w:proofErr w:type="spellEnd"/>
      <w:r w:rsidR="006803AD" w:rsidRPr="001E192F">
        <w:rPr>
          <w:szCs w:val="24"/>
        </w:rPr>
        <w:t xml:space="preserve"> et al.</w:t>
      </w:r>
      <w:r w:rsidRPr="001E192F">
        <w:rPr>
          <w:szCs w:val="24"/>
        </w:rPr>
        <w:t xml:space="preserve"> (2006) while Chen</w:t>
      </w:r>
      <w:r w:rsidR="006803AD" w:rsidRPr="001E192F">
        <w:rPr>
          <w:szCs w:val="24"/>
        </w:rPr>
        <w:t xml:space="preserve"> et al.</w:t>
      </w:r>
      <w:r w:rsidRPr="001E192F">
        <w:rPr>
          <w:szCs w:val="24"/>
        </w:rPr>
        <w:t xml:space="preserve"> (2012) use an updated sample. </w:t>
      </w:r>
      <w:r w:rsidR="006974EA" w:rsidRPr="001E192F">
        <w:rPr>
          <w:szCs w:val="24"/>
        </w:rPr>
        <w:t xml:space="preserve"> </w:t>
      </w:r>
      <w:r w:rsidRPr="001E192F">
        <w:rPr>
          <w:szCs w:val="24"/>
        </w:rPr>
        <w:t xml:space="preserve">Further, our </w:t>
      </w:r>
      <w:r w:rsidR="006803AD" w:rsidRPr="001E192F">
        <w:rPr>
          <w:szCs w:val="24"/>
        </w:rPr>
        <w:t>focus is</w:t>
      </w:r>
      <w:r w:rsidRPr="001E192F">
        <w:rPr>
          <w:szCs w:val="24"/>
        </w:rPr>
        <w:t xml:space="preserve"> quite different. </w:t>
      </w:r>
      <w:r w:rsidR="006974EA" w:rsidRPr="001E192F">
        <w:rPr>
          <w:szCs w:val="24"/>
        </w:rPr>
        <w:t xml:space="preserve"> </w:t>
      </w:r>
      <w:r w:rsidRPr="001E192F">
        <w:rPr>
          <w:szCs w:val="24"/>
        </w:rPr>
        <w:t xml:space="preserve">They focus on identifying the situations when idiosyncratic volatility is priced. </w:t>
      </w:r>
      <w:r w:rsidR="006974EA" w:rsidRPr="001E192F">
        <w:rPr>
          <w:szCs w:val="24"/>
        </w:rPr>
        <w:t xml:space="preserve"> </w:t>
      </w:r>
      <w:r w:rsidRPr="001E192F">
        <w:rPr>
          <w:szCs w:val="24"/>
        </w:rPr>
        <w:t>We focus more on the discussion of the issues that are more generally applicable to all of empirical asset pr</w:t>
      </w:r>
      <w:r w:rsidR="00325CAC" w:rsidRPr="001E192F">
        <w:rPr>
          <w:szCs w:val="24"/>
        </w:rPr>
        <w:t>icing and statistical inference of portfolio alphas.</w:t>
      </w:r>
    </w:p>
    <w:p w14:paraId="04781ACB" w14:textId="0EF23089" w:rsidR="0024787C" w:rsidRPr="001E192F" w:rsidRDefault="004A2399" w:rsidP="009A2C29">
      <w:pPr>
        <w:spacing w:after="0" w:line="360" w:lineRule="auto"/>
        <w:rPr>
          <w:szCs w:val="24"/>
        </w:rPr>
      </w:pPr>
      <w:r w:rsidRPr="001E192F">
        <w:rPr>
          <w:szCs w:val="24"/>
        </w:rPr>
        <w:t>We c</w:t>
      </w:r>
      <w:r w:rsidR="00053B4B" w:rsidRPr="001E192F">
        <w:rPr>
          <w:szCs w:val="24"/>
        </w:rPr>
        <w:t xml:space="preserve">onsider the impact of the following </w:t>
      </w:r>
      <w:r w:rsidR="004018CD" w:rsidRPr="001E192F">
        <w:rPr>
          <w:szCs w:val="24"/>
        </w:rPr>
        <w:t xml:space="preserve">design </w:t>
      </w:r>
      <w:r w:rsidR="00053B4B" w:rsidRPr="001E192F">
        <w:rPr>
          <w:szCs w:val="24"/>
        </w:rPr>
        <w:t xml:space="preserve">decisions: value </w:t>
      </w:r>
      <w:r w:rsidRPr="001E192F">
        <w:rPr>
          <w:szCs w:val="24"/>
        </w:rPr>
        <w:t xml:space="preserve">weighting </w:t>
      </w:r>
      <w:r w:rsidR="00053B4B" w:rsidRPr="001E192F">
        <w:rPr>
          <w:szCs w:val="24"/>
        </w:rPr>
        <w:t xml:space="preserve">versus equal weighting, </w:t>
      </w:r>
      <w:r w:rsidR="004018CD" w:rsidRPr="001E192F">
        <w:rPr>
          <w:szCs w:val="24"/>
        </w:rPr>
        <w:t>inclusion of the turn-of-year effect</w:t>
      </w:r>
      <w:r w:rsidR="009C14F0" w:rsidRPr="001E192F">
        <w:rPr>
          <w:szCs w:val="24"/>
        </w:rPr>
        <w:t>, the effect of low-priced</w:t>
      </w:r>
      <w:r w:rsidR="00053B4B" w:rsidRPr="001E192F">
        <w:rPr>
          <w:szCs w:val="24"/>
        </w:rPr>
        <w:t xml:space="preserve"> stocks, </w:t>
      </w:r>
      <w:r w:rsidR="004018CD" w:rsidRPr="001E192F">
        <w:rPr>
          <w:szCs w:val="24"/>
        </w:rPr>
        <w:t xml:space="preserve">choosing </w:t>
      </w:r>
      <w:r w:rsidR="00053B4B" w:rsidRPr="001E192F">
        <w:rPr>
          <w:szCs w:val="24"/>
        </w:rPr>
        <w:t xml:space="preserve">NYSE versus CRSP breakpoints, augmenting the </w:t>
      </w:r>
      <w:r w:rsidR="00A91D88" w:rsidRPr="001E192F">
        <w:rPr>
          <w:szCs w:val="24"/>
        </w:rPr>
        <w:t>three-</w:t>
      </w:r>
      <w:r w:rsidR="00053B4B" w:rsidRPr="001E192F">
        <w:rPr>
          <w:szCs w:val="24"/>
        </w:rPr>
        <w:t xml:space="preserve">factor model with the momentum factor, augmenting the </w:t>
      </w:r>
      <w:r w:rsidR="00A91D88" w:rsidRPr="001E192F">
        <w:rPr>
          <w:szCs w:val="24"/>
        </w:rPr>
        <w:t>three-</w:t>
      </w:r>
      <w:r w:rsidR="00053B4B" w:rsidRPr="001E192F">
        <w:rPr>
          <w:szCs w:val="24"/>
        </w:rPr>
        <w:t>factor</w:t>
      </w:r>
      <w:r w:rsidR="004018CD" w:rsidRPr="001E192F">
        <w:rPr>
          <w:szCs w:val="24"/>
        </w:rPr>
        <w:t xml:space="preserve"> model with the reversa</w:t>
      </w:r>
      <w:r w:rsidR="00A91D88" w:rsidRPr="001E192F">
        <w:rPr>
          <w:szCs w:val="24"/>
        </w:rPr>
        <w:t>l factor</w:t>
      </w:r>
      <w:r w:rsidR="009C14F0" w:rsidRPr="001E192F">
        <w:rPr>
          <w:szCs w:val="24"/>
        </w:rPr>
        <w:t>,</w:t>
      </w:r>
      <w:r w:rsidR="00A91D88" w:rsidRPr="001E192F">
        <w:rPr>
          <w:szCs w:val="24"/>
        </w:rPr>
        <w:t xml:space="preserve"> and replacing the t</w:t>
      </w:r>
      <w:r w:rsidR="002B1767" w:rsidRPr="001E192F">
        <w:rPr>
          <w:szCs w:val="24"/>
        </w:rPr>
        <w:t xml:space="preserve">hree-factor model with the </w:t>
      </w:r>
      <w:proofErr w:type="spellStart"/>
      <w:r w:rsidR="002B1767" w:rsidRPr="001E192F">
        <w:rPr>
          <w:szCs w:val="24"/>
        </w:rPr>
        <w:t>Fama</w:t>
      </w:r>
      <w:proofErr w:type="spellEnd"/>
      <w:r w:rsidR="002B1767" w:rsidRPr="001E192F">
        <w:rPr>
          <w:szCs w:val="24"/>
        </w:rPr>
        <w:t xml:space="preserve"> and</w:t>
      </w:r>
      <w:r w:rsidR="009C14F0" w:rsidRPr="001E192F">
        <w:rPr>
          <w:szCs w:val="24"/>
        </w:rPr>
        <w:t xml:space="preserve"> </w:t>
      </w:r>
      <w:r w:rsidR="00A91D88" w:rsidRPr="001E192F">
        <w:rPr>
          <w:szCs w:val="24"/>
        </w:rPr>
        <w:t>French (2015) five-factor model</w:t>
      </w:r>
      <w:r w:rsidR="00993792" w:rsidRPr="001E192F">
        <w:rPr>
          <w:szCs w:val="24"/>
        </w:rPr>
        <w:t xml:space="preserve">.  </w:t>
      </w:r>
      <w:r w:rsidR="00053B4B" w:rsidRPr="001E192F">
        <w:rPr>
          <w:szCs w:val="24"/>
        </w:rPr>
        <w:t>From this set of uncontrover</w:t>
      </w:r>
      <w:r w:rsidRPr="001E192F">
        <w:rPr>
          <w:szCs w:val="24"/>
        </w:rPr>
        <w:t>sial design alternatives, we</w:t>
      </w:r>
      <w:r w:rsidR="00053B4B" w:rsidRPr="001E192F">
        <w:rPr>
          <w:szCs w:val="24"/>
        </w:rPr>
        <w:t xml:space="preserve"> est</w:t>
      </w:r>
      <w:r w:rsidR="004018CD" w:rsidRPr="001E192F">
        <w:rPr>
          <w:szCs w:val="24"/>
        </w:rPr>
        <w:t>imate a set of</w:t>
      </w:r>
      <w:r w:rsidR="00A45064" w:rsidRPr="001E192F">
        <w:rPr>
          <w:szCs w:val="24"/>
        </w:rPr>
        <w:t xml:space="preserve"> alphas that</w:t>
      </w:r>
      <w:r w:rsidR="00053B4B" w:rsidRPr="001E192F">
        <w:rPr>
          <w:szCs w:val="24"/>
        </w:rPr>
        <w:t xml:space="preserve"> </w:t>
      </w:r>
      <w:r w:rsidR="00A45064" w:rsidRPr="001E192F">
        <w:rPr>
          <w:szCs w:val="24"/>
        </w:rPr>
        <w:t>di</w:t>
      </w:r>
      <w:r w:rsidR="007F42BE" w:rsidRPr="001E192F">
        <w:rPr>
          <w:szCs w:val="24"/>
        </w:rPr>
        <w:t>ffer substantially</w:t>
      </w:r>
      <w:r w:rsidR="00A91D88" w:rsidRPr="001E192F">
        <w:rPr>
          <w:szCs w:val="24"/>
        </w:rPr>
        <w:t xml:space="preserve"> from each other and from </w:t>
      </w:r>
      <w:proofErr w:type="spellStart"/>
      <w:r w:rsidR="00A91D88" w:rsidRPr="001E192F">
        <w:rPr>
          <w:szCs w:val="24"/>
        </w:rPr>
        <w:t>Ang</w:t>
      </w:r>
      <w:proofErr w:type="spellEnd"/>
      <w:r w:rsidR="00A91D88" w:rsidRPr="001E192F">
        <w:rPr>
          <w:szCs w:val="24"/>
        </w:rPr>
        <w:t xml:space="preserve"> </w:t>
      </w:r>
      <w:r w:rsidR="002E005B" w:rsidRPr="001E192F">
        <w:rPr>
          <w:szCs w:val="24"/>
        </w:rPr>
        <w:t xml:space="preserve">et al. </w:t>
      </w:r>
      <w:r w:rsidR="00A91D88" w:rsidRPr="001E192F">
        <w:rPr>
          <w:szCs w:val="24"/>
        </w:rPr>
        <w:t>(2006)</w:t>
      </w:r>
      <w:r w:rsidR="002E005B" w:rsidRPr="001E192F">
        <w:rPr>
          <w:szCs w:val="24"/>
        </w:rPr>
        <w:t>.  Finally</w:t>
      </w:r>
      <w:r w:rsidR="007F42BE" w:rsidRPr="001E192F">
        <w:rPr>
          <w:szCs w:val="24"/>
        </w:rPr>
        <w:t xml:space="preserve">, </w:t>
      </w:r>
      <w:r w:rsidR="00A45064" w:rsidRPr="001E192F">
        <w:rPr>
          <w:szCs w:val="24"/>
        </w:rPr>
        <w:t xml:space="preserve">we </w:t>
      </w:r>
      <w:r w:rsidR="00053B4B" w:rsidRPr="001E192F">
        <w:rPr>
          <w:szCs w:val="24"/>
        </w:rPr>
        <w:t xml:space="preserve">analyze the impact the </w:t>
      </w:r>
      <w:r w:rsidR="00A45064" w:rsidRPr="001E192F">
        <w:rPr>
          <w:szCs w:val="24"/>
        </w:rPr>
        <w:t xml:space="preserve">different design </w:t>
      </w:r>
      <w:r w:rsidR="00053B4B" w:rsidRPr="001E192F">
        <w:rPr>
          <w:szCs w:val="24"/>
        </w:rPr>
        <w:t>decisions have on the economic significance of idiosyncratic volatility as an investment strategy</w:t>
      </w:r>
      <w:r w:rsidR="00993792" w:rsidRPr="001E192F">
        <w:rPr>
          <w:szCs w:val="24"/>
        </w:rPr>
        <w:t>.</w:t>
      </w:r>
    </w:p>
    <w:p w14:paraId="03F9CEA1" w14:textId="77777777" w:rsidR="00993792" w:rsidRPr="001E192F" w:rsidRDefault="00993792" w:rsidP="009A2C29">
      <w:pPr>
        <w:spacing w:after="0" w:line="360" w:lineRule="auto"/>
        <w:rPr>
          <w:szCs w:val="24"/>
        </w:rPr>
      </w:pPr>
    </w:p>
    <w:p w14:paraId="41A6ED14" w14:textId="0CCD4479" w:rsidR="00053B4B" w:rsidRPr="009A2C29" w:rsidRDefault="008654F8" w:rsidP="009A2C29">
      <w:pPr>
        <w:pStyle w:val="Title"/>
        <w:spacing w:after="0" w:line="360" w:lineRule="auto"/>
        <w:rPr>
          <w:rFonts w:cs="Times New Roman"/>
          <w:szCs w:val="24"/>
        </w:rPr>
      </w:pPr>
      <w:r>
        <w:rPr>
          <w:rFonts w:cs="Times New Roman"/>
          <w:szCs w:val="24"/>
        </w:rPr>
        <w:t xml:space="preserve">2.  </w:t>
      </w:r>
      <w:r w:rsidR="0089445C" w:rsidRPr="009A2C29">
        <w:rPr>
          <w:rFonts w:cs="Times New Roman"/>
          <w:szCs w:val="24"/>
        </w:rPr>
        <w:t>The Benchmark Design of Idiosyncratic Volatility P</w:t>
      </w:r>
      <w:r w:rsidR="00053B4B" w:rsidRPr="009A2C29">
        <w:rPr>
          <w:rFonts w:cs="Times New Roman"/>
          <w:szCs w:val="24"/>
        </w:rPr>
        <w:t>ricing</w:t>
      </w:r>
    </w:p>
    <w:p w14:paraId="0812CAEE" w14:textId="42B5E39C" w:rsidR="0089445C" w:rsidRPr="001E192F" w:rsidRDefault="0090529F" w:rsidP="009A2C29">
      <w:pPr>
        <w:spacing w:after="0" w:line="360" w:lineRule="auto"/>
        <w:rPr>
          <w:szCs w:val="24"/>
        </w:rPr>
      </w:pPr>
      <w:proofErr w:type="spellStart"/>
      <w:r w:rsidRPr="001E192F">
        <w:rPr>
          <w:szCs w:val="24"/>
        </w:rPr>
        <w:t>Ang</w:t>
      </w:r>
      <w:proofErr w:type="spellEnd"/>
      <w:r w:rsidRPr="001E192F">
        <w:rPr>
          <w:szCs w:val="24"/>
        </w:rPr>
        <w:t xml:space="preserve"> </w:t>
      </w:r>
      <w:r w:rsidR="002E005B" w:rsidRPr="001E192F">
        <w:rPr>
          <w:szCs w:val="24"/>
        </w:rPr>
        <w:t xml:space="preserve">et al. </w:t>
      </w:r>
      <w:r w:rsidRPr="001E192F">
        <w:rPr>
          <w:szCs w:val="24"/>
        </w:rPr>
        <w:t>(2006</w:t>
      </w:r>
      <w:r w:rsidR="00053B4B" w:rsidRPr="001E192F">
        <w:rPr>
          <w:szCs w:val="24"/>
        </w:rPr>
        <w:t>) revitalize interest in the pricing of idiosyncratic volatility</w:t>
      </w:r>
      <w:r w:rsidRPr="001E192F">
        <w:rPr>
          <w:szCs w:val="24"/>
        </w:rPr>
        <w:t xml:space="preserve"> by documenting a </w:t>
      </w:r>
      <w:r w:rsidR="00053B4B" w:rsidRPr="001E192F">
        <w:rPr>
          <w:szCs w:val="24"/>
        </w:rPr>
        <w:t>surprising negative relation</w:t>
      </w:r>
      <w:r w:rsidRPr="001E192F">
        <w:rPr>
          <w:szCs w:val="24"/>
        </w:rPr>
        <w:t xml:space="preserve"> to portfolio returns</w:t>
      </w:r>
      <w:r w:rsidR="00993792" w:rsidRPr="001E192F">
        <w:rPr>
          <w:szCs w:val="24"/>
        </w:rPr>
        <w:t xml:space="preserve">.  </w:t>
      </w:r>
      <w:r w:rsidR="002E005B" w:rsidRPr="001E192F">
        <w:rPr>
          <w:szCs w:val="24"/>
        </w:rPr>
        <w:t xml:space="preserve">They </w:t>
      </w:r>
      <w:r w:rsidR="009C14F0" w:rsidRPr="001E192F">
        <w:rPr>
          <w:szCs w:val="24"/>
        </w:rPr>
        <w:t xml:space="preserve">use the </w:t>
      </w:r>
      <w:proofErr w:type="spellStart"/>
      <w:r w:rsidR="009C14F0" w:rsidRPr="001E192F">
        <w:rPr>
          <w:szCs w:val="24"/>
        </w:rPr>
        <w:t>Fama</w:t>
      </w:r>
      <w:proofErr w:type="spellEnd"/>
      <w:r w:rsidR="009C14F0" w:rsidRPr="001E192F">
        <w:rPr>
          <w:szCs w:val="24"/>
        </w:rPr>
        <w:t xml:space="preserve"> and French (1993) three-factor model and daily returns in excess of the risk-free rate to construct a monthly measure of idiosyncratic volatility, for each month </w:t>
      </w:r>
      <w:r w:rsidR="002E005B" w:rsidRPr="001E192F">
        <w:rPr>
          <w:szCs w:val="24"/>
        </w:rPr>
        <w:t xml:space="preserve">and </w:t>
      </w:r>
      <w:r w:rsidR="009C14F0" w:rsidRPr="001E192F">
        <w:rPr>
          <w:szCs w:val="24"/>
        </w:rPr>
        <w:t>for each stock</w:t>
      </w:r>
      <w:r w:rsidR="002E005B" w:rsidRPr="001E192F">
        <w:rPr>
          <w:szCs w:val="24"/>
        </w:rPr>
        <w:t>,</w:t>
      </w:r>
      <w:r w:rsidR="009C14F0" w:rsidRPr="001E192F">
        <w:rPr>
          <w:szCs w:val="24"/>
        </w:rPr>
        <w:t xml:space="preserve"> in their sample period </w:t>
      </w:r>
      <w:r w:rsidR="009C14F0" w:rsidRPr="001E192F">
        <w:rPr>
          <w:szCs w:val="24"/>
        </w:rPr>
        <w:lastRenderedPageBreak/>
        <w:t xml:space="preserve">from </w:t>
      </w:r>
      <w:r w:rsidR="007F650D" w:rsidRPr="001E192F">
        <w:rPr>
          <w:szCs w:val="24"/>
        </w:rPr>
        <w:t xml:space="preserve">July 1963 </w:t>
      </w:r>
      <w:r w:rsidR="009C14F0" w:rsidRPr="001E192F">
        <w:rPr>
          <w:szCs w:val="24"/>
        </w:rPr>
        <w:t xml:space="preserve">to </w:t>
      </w:r>
      <w:r w:rsidR="007F650D" w:rsidRPr="001E192F">
        <w:rPr>
          <w:szCs w:val="24"/>
        </w:rPr>
        <w:t>December 2000</w:t>
      </w:r>
      <w:r w:rsidR="00993792" w:rsidRPr="001E192F">
        <w:rPr>
          <w:szCs w:val="24"/>
        </w:rPr>
        <w:t xml:space="preserve">.  </w:t>
      </w:r>
      <w:r w:rsidR="00053B4B" w:rsidRPr="001E192F">
        <w:rPr>
          <w:szCs w:val="24"/>
        </w:rPr>
        <w:t>Idiosyncratic volatility is defined as the standard deviation of the residual</w:t>
      </w:r>
      <w:r w:rsidR="009C14F0" w:rsidRPr="001E192F">
        <w:rPr>
          <w:szCs w:val="24"/>
        </w:rPr>
        <w:t>s from</w:t>
      </w:r>
      <w:r w:rsidR="00053B4B" w:rsidRPr="001E192F">
        <w:rPr>
          <w:szCs w:val="24"/>
        </w:rPr>
        <w:t xml:space="preserve"> these regression</w:t>
      </w:r>
      <w:r w:rsidRPr="001E192F">
        <w:rPr>
          <w:szCs w:val="24"/>
        </w:rPr>
        <w:t>s</w:t>
      </w:r>
      <w:r w:rsidR="00993792" w:rsidRPr="001E192F">
        <w:rPr>
          <w:szCs w:val="24"/>
        </w:rPr>
        <w:t xml:space="preserve">.  </w:t>
      </w:r>
      <w:r w:rsidRPr="001E192F">
        <w:rPr>
          <w:szCs w:val="24"/>
        </w:rPr>
        <w:t>This</w:t>
      </w:r>
      <w:r w:rsidR="00053B4B" w:rsidRPr="001E192F">
        <w:rPr>
          <w:szCs w:val="24"/>
        </w:rPr>
        <w:t xml:space="preserve"> measure is </w:t>
      </w:r>
      <w:r w:rsidRPr="001E192F">
        <w:rPr>
          <w:szCs w:val="24"/>
        </w:rPr>
        <w:t xml:space="preserve">then </w:t>
      </w:r>
      <w:r w:rsidR="00053B4B" w:rsidRPr="001E192F">
        <w:rPr>
          <w:szCs w:val="24"/>
        </w:rPr>
        <w:t>used to form five value-weighted portfolios based on the rank of each stock’s idiosyncratic volatility</w:t>
      </w:r>
      <w:r w:rsidR="00993792" w:rsidRPr="001E192F">
        <w:rPr>
          <w:szCs w:val="24"/>
        </w:rPr>
        <w:t xml:space="preserve">.  </w:t>
      </w:r>
      <w:r w:rsidR="00053B4B" w:rsidRPr="001E192F">
        <w:rPr>
          <w:szCs w:val="24"/>
        </w:rPr>
        <w:t>All stocks in the sample are separated into portfolios based on idiosyncratic volatility breakpoints (the so-called “CRSP breakpoints”)</w:t>
      </w:r>
      <w:r w:rsidR="00993792" w:rsidRPr="001E192F">
        <w:rPr>
          <w:szCs w:val="24"/>
        </w:rPr>
        <w:t xml:space="preserve">.  </w:t>
      </w:r>
      <w:r w:rsidR="0035159B" w:rsidRPr="001E192F">
        <w:rPr>
          <w:szCs w:val="24"/>
        </w:rPr>
        <w:t>The</w:t>
      </w:r>
      <w:r w:rsidR="00053B4B" w:rsidRPr="001E192F">
        <w:rPr>
          <w:szCs w:val="24"/>
        </w:rPr>
        <w:t xml:space="preserve"> </w:t>
      </w:r>
      <w:r w:rsidRPr="001E192F">
        <w:rPr>
          <w:szCs w:val="24"/>
        </w:rPr>
        <w:t xml:space="preserve">portfolios, sorted by their </w:t>
      </w:r>
      <w:r w:rsidR="00053B4B" w:rsidRPr="001E192F">
        <w:rPr>
          <w:szCs w:val="24"/>
        </w:rPr>
        <w:t>idiosyncrat</w:t>
      </w:r>
      <w:r w:rsidRPr="001E192F">
        <w:rPr>
          <w:szCs w:val="24"/>
        </w:rPr>
        <w:t xml:space="preserve">ic volatility, </w:t>
      </w:r>
      <w:r w:rsidR="00053B4B" w:rsidRPr="001E192F">
        <w:rPr>
          <w:szCs w:val="24"/>
        </w:rPr>
        <w:t>are held for the following month and then rebalanced</w:t>
      </w:r>
      <w:r w:rsidR="00993792" w:rsidRPr="001E192F">
        <w:rPr>
          <w:szCs w:val="24"/>
        </w:rPr>
        <w:t xml:space="preserve">.  </w:t>
      </w:r>
    </w:p>
    <w:p w14:paraId="67A9F51D" w14:textId="3A8C1A17" w:rsidR="00053B4B" w:rsidRPr="001E192F" w:rsidRDefault="00053B4B" w:rsidP="009A2C29">
      <w:pPr>
        <w:spacing w:after="0" w:line="360" w:lineRule="auto"/>
        <w:rPr>
          <w:szCs w:val="24"/>
        </w:rPr>
      </w:pPr>
      <w:r w:rsidRPr="001E192F">
        <w:rPr>
          <w:szCs w:val="24"/>
        </w:rPr>
        <w:t xml:space="preserve">The price of idiosyncratic volatility is reached by estimating the alpha for a zero-investment </w:t>
      </w:r>
      <w:r w:rsidR="00073F53" w:rsidRPr="001E192F">
        <w:rPr>
          <w:szCs w:val="24"/>
        </w:rPr>
        <w:t>portfolio that shorts the lowest</w:t>
      </w:r>
      <w:r w:rsidRPr="001E192F">
        <w:rPr>
          <w:szCs w:val="24"/>
        </w:rPr>
        <w:t xml:space="preserve"> idiosyncratic volatility portfoli</w:t>
      </w:r>
      <w:r w:rsidR="00073F53" w:rsidRPr="001E192F">
        <w:rPr>
          <w:szCs w:val="24"/>
        </w:rPr>
        <w:t>o and purchases the highest</w:t>
      </w:r>
      <w:r w:rsidRPr="001E192F">
        <w:rPr>
          <w:szCs w:val="24"/>
        </w:rPr>
        <w:t xml:space="preserve"> idiosyncratic volatility portfolio</w:t>
      </w:r>
      <w:r w:rsidR="00993792" w:rsidRPr="001E192F">
        <w:rPr>
          <w:szCs w:val="24"/>
        </w:rPr>
        <w:t xml:space="preserve">.  </w:t>
      </w:r>
      <w:r w:rsidRPr="001E192F">
        <w:rPr>
          <w:szCs w:val="24"/>
        </w:rPr>
        <w:t xml:space="preserve">The portfolio alpha is </w:t>
      </w:r>
      <w:r w:rsidR="00073F53" w:rsidRPr="001E192F">
        <w:rPr>
          <w:szCs w:val="24"/>
        </w:rPr>
        <w:t xml:space="preserve">then estimated </w:t>
      </w:r>
      <w:r w:rsidR="0035159B" w:rsidRPr="001E192F">
        <w:rPr>
          <w:szCs w:val="24"/>
        </w:rPr>
        <w:t xml:space="preserve">by again </w:t>
      </w:r>
      <w:r w:rsidR="00073F53" w:rsidRPr="001E192F">
        <w:rPr>
          <w:szCs w:val="24"/>
        </w:rPr>
        <w:t>using the</w:t>
      </w:r>
      <w:r w:rsidRPr="001E192F">
        <w:rPr>
          <w:szCs w:val="24"/>
        </w:rPr>
        <w:t xml:space="preserve"> </w:t>
      </w:r>
      <w:proofErr w:type="spellStart"/>
      <w:r w:rsidRPr="001E192F">
        <w:rPr>
          <w:szCs w:val="24"/>
        </w:rPr>
        <w:t>Fama</w:t>
      </w:r>
      <w:proofErr w:type="spellEnd"/>
      <w:r w:rsidRPr="001E192F">
        <w:rPr>
          <w:szCs w:val="24"/>
        </w:rPr>
        <w:t xml:space="preserve"> and French (1993) three-factor model</w:t>
      </w:r>
      <w:r w:rsidR="00993792" w:rsidRPr="001E192F">
        <w:rPr>
          <w:szCs w:val="24"/>
        </w:rPr>
        <w:t xml:space="preserve">.  </w:t>
      </w:r>
      <w:r w:rsidRPr="001E192F">
        <w:rPr>
          <w:szCs w:val="24"/>
        </w:rPr>
        <w:t>We refer to this method of portfolio construction and estimation of alpha as our benchmark method.</w:t>
      </w:r>
      <w:r w:rsidR="002E005B" w:rsidRPr="001E192F">
        <w:rPr>
          <w:szCs w:val="24"/>
        </w:rPr>
        <w:t xml:space="preserve">  </w:t>
      </w:r>
      <w:r w:rsidR="003F6142" w:rsidRPr="001E192F">
        <w:rPr>
          <w:szCs w:val="24"/>
        </w:rPr>
        <w:t>In order to insure that our benchmark method follows the original wo</w:t>
      </w:r>
      <w:r w:rsidR="0035159B" w:rsidRPr="001E192F">
        <w:rPr>
          <w:szCs w:val="24"/>
        </w:rPr>
        <w:t xml:space="preserve">rk of </w:t>
      </w:r>
      <w:proofErr w:type="spellStart"/>
      <w:r w:rsidR="0035159B" w:rsidRPr="001E192F">
        <w:rPr>
          <w:szCs w:val="24"/>
        </w:rPr>
        <w:t>Ang</w:t>
      </w:r>
      <w:proofErr w:type="spellEnd"/>
      <w:r w:rsidR="006803AD" w:rsidRPr="001E192F">
        <w:rPr>
          <w:szCs w:val="24"/>
        </w:rPr>
        <w:t xml:space="preserve"> et al.</w:t>
      </w:r>
      <w:r w:rsidR="002E005B" w:rsidRPr="001E192F">
        <w:rPr>
          <w:szCs w:val="24"/>
        </w:rPr>
        <w:t xml:space="preserve"> </w:t>
      </w:r>
      <w:r w:rsidR="0035159B" w:rsidRPr="001E192F">
        <w:rPr>
          <w:szCs w:val="24"/>
        </w:rPr>
        <w:t>(2006), we try</w:t>
      </w:r>
      <w:r w:rsidR="003F6142" w:rsidRPr="001E192F">
        <w:rPr>
          <w:szCs w:val="24"/>
        </w:rPr>
        <w:t xml:space="preserve"> to replicate their results</w:t>
      </w:r>
      <w:r w:rsidR="00993792" w:rsidRPr="001E192F">
        <w:rPr>
          <w:szCs w:val="24"/>
        </w:rPr>
        <w:t xml:space="preserve">.  </w:t>
      </w:r>
      <w:r w:rsidR="003F6142" w:rsidRPr="001E192F">
        <w:rPr>
          <w:szCs w:val="24"/>
        </w:rPr>
        <w:t>The comparison is presented in Table 1.</w:t>
      </w:r>
    </w:p>
    <w:p w14:paraId="663C3D0B" w14:textId="2A1E02F5" w:rsidR="00465B48" w:rsidRPr="001E192F" w:rsidRDefault="00873061" w:rsidP="009A2C29">
      <w:pPr>
        <w:spacing w:after="0" w:line="360" w:lineRule="auto"/>
        <w:rPr>
          <w:szCs w:val="24"/>
        </w:rPr>
      </w:pPr>
      <w:r w:rsidRPr="001E192F">
        <w:rPr>
          <w:szCs w:val="24"/>
        </w:rPr>
        <w:t>O</w:t>
      </w:r>
      <w:r w:rsidR="00465B48" w:rsidRPr="001E192F">
        <w:rPr>
          <w:szCs w:val="24"/>
        </w:rPr>
        <w:t>ur replicati</w:t>
      </w:r>
      <w:r w:rsidRPr="001E192F">
        <w:rPr>
          <w:szCs w:val="24"/>
        </w:rPr>
        <w:t xml:space="preserve">on of the </w:t>
      </w:r>
      <w:proofErr w:type="spellStart"/>
      <w:r w:rsidRPr="001E192F">
        <w:rPr>
          <w:szCs w:val="24"/>
        </w:rPr>
        <w:t>Ang</w:t>
      </w:r>
      <w:proofErr w:type="spellEnd"/>
      <w:r w:rsidRPr="001E192F">
        <w:rPr>
          <w:szCs w:val="24"/>
        </w:rPr>
        <w:t xml:space="preserve"> </w:t>
      </w:r>
      <w:r w:rsidR="002E005B" w:rsidRPr="001E192F">
        <w:rPr>
          <w:szCs w:val="24"/>
        </w:rPr>
        <w:t xml:space="preserve">et al. </w:t>
      </w:r>
      <w:r w:rsidRPr="001E192F">
        <w:rPr>
          <w:szCs w:val="24"/>
        </w:rPr>
        <w:t>(20</w:t>
      </w:r>
      <w:r w:rsidR="003F6142" w:rsidRPr="001E192F">
        <w:rPr>
          <w:szCs w:val="24"/>
        </w:rPr>
        <w:t>06) study</w:t>
      </w:r>
      <w:r w:rsidR="00F43872" w:rsidRPr="001E192F">
        <w:rPr>
          <w:szCs w:val="24"/>
        </w:rPr>
        <w:t xml:space="preserve"> produces</w:t>
      </w:r>
      <w:r w:rsidRPr="001E192F">
        <w:rPr>
          <w:szCs w:val="24"/>
        </w:rPr>
        <w:t xml:space="preserve"> </w:t>
      </w:r>
      <w:r w:rsidR="003F6142" w:rsidRPr="001E192F">
        <w:rPr>
          <w:szCs w:val="24"/>
        </w:rPr>
        <w:t>nearly</w:t>
      </w:r>
      <w:r w:rsidR="00465B48" w:rsidRPr="001E192F">
        <w:rPr>
          <w:szCs w:val="24"/>
        </w:rPr>
        <w:t xml:space="preserve"> ident</w:t>
      </w:r>
      <w:r w:rsidR="003F6142" w:rsidRPr="001E192F">
        <w:rPr>
          <w:szCs w:val="24"/>
        </w:rPr>
        <w:t>ical results</w:t>
      </w:r>
      <w:r w:rsidR="00993792" w:rsidRPr="001E192F">
        <w:rPr>
          <w:szCs w:val="24"/>
        </w:rPr>
        <w:t xml:space="preserve">.  </w:t>
      </w:r>
      <w:r w:rsidR="003F6142" w:rsidRPr="001E192F">
        <w:rPr>
          <w:szCs w:val="24"/>
        </w:rPr>
        <w:t>Our alphas follow a pattern similar to that</w:t>
      </w:r>
      <w:r w:rsidR="00465B48" w:rsidRPr="001E192F">
        <w:rPr>
          <w:szCs w:val="24"/>
        </w:rPr>
        <w:t xml:space="preserve"> report</w:t>
      </w:r>
      <w:r w:rsidR="003F6142" w:rsidRPr="001E192F">
        <w:rPr>
          <w:szCs w:val="24"/>
        </w:rPr>
        <w:t xml:space="preserve">ed in Table VI </w:t>
      </w:r>
      <w:r w:rsidRPr="001E192F">
        <w:rPr>
          <w:szCs w:val="24"/>
        </w:rPr>
        <w:t xml:space="preserve">in </w:t>
      </w:r>
      <w:proofErr w:type="spellStart"/>
      <w:r w:rsidRPr="001E192F">
        <w:rPr>
          <w:szCs w:val="24"/>
        </w:rPr>
        <w:t>Ang</w:t>
      </w:r>
      <w:proofErr w:type="spellEnd"/>
      <w:r w:rsidRPr="001E192F">
        <w:rPr>
          <w:szCs w:val="24"/>
        </w:rPr>
        <w:t xml:space="preserve"> </w:t>
      </w:r>
      <w:r w:rsidR="002E005B" w:rsidRPr="001E192F">
        <w:rPr>
          <w:szCs w:val="24"/>
        </w:rPr>
        <w:t xml:space="preserve">et al. </w:t>
      </w:r>
      <w:r w:rsidRPr="001E192F">
        <w:rPr>
          <w:szCs w:val="24"/>
        </w:rPr>
        <w:t>(2006)</w:t>
      </w:r>
      <w:r w:rsidR="00993792" w:rsidRPr="001E192F">
        <w:rPr>
          <w:szCs w:val="24"/>
        </w:rPr>
        <w:t xml:space="preserve">.  </w:t>
      </w:r>
      <w:r w:rsidR="00465B48" w:rsidRPr="001E192F">
        <w:rPr>
          <w:szCs w:val="24"/>
        </w:rPr>
        <w:t xml:space="preserve">Our estimated alphas </w:t>
      </w:r>
      <w:r w:rsidRPr="001E192F">
        <w:rPr>
          <w:szCs w:val="24"/>
        </w:rPr>
        <w:t>are</w:t>
      </w:r>
      <w:r w:rsidR="00465B48" w:rsidRPr="001E192F">
        <w:rPr>
          <w:szCs w:val="24"/>
        </w:rPr>
        <w:t xml:space="preserve"> </w:t>
      </w:r>
      <w:r w:rsidR="00CA28BC" w:rsidRPr="001E192F">
        <w:rPr>
          <w:szCs w:val="24"/>
        </w:rPr>
        <w:t xml:space="preserve">only slightly different from those presented by </w:t>
      </w:r>
      <w:proofErr w:type="spellStart"/>
      <w:r w:rsidR="00CA28BC" w:rsidRPr="001E192F">
        <w:rPr>
          <w:szCs w:val="24"/>
        </w:rPr>
        <w:t>Ang</w:t>
      </w:r>
      <w:proofErr w:type="spellEnd"/>
      <w:r w:rsidR="00CA28BC" w:rsidRPr="001E192F">
        <w:rPr>
          <w:szCs w:val="24"/>
        </w:rPr>
        <w:t xml:space="preserve"> </w:t>
      </w:r>
      <w:r w:rsidR="002E005B" w:rsidRPr="001E192F">
        <w:rPr>
          <w:szCs w:val="24"/>
        </w:rPr>
        <w:t xml:space="preserve">et al. </w:t>
      </w:r>
      <w:r w:rsidR="00CA28BC" w:rsidRPr="001E192F">
        <w:rPr>
          <w:szCs w:val="24"/>
        </w:rPr>
        <w:t>wit</w:t>
      </w:r>
      <w:r w:rsidR="0049451A" w:rsidRPr="001E192F">
        <w:rPr>
          <w:szCs w:val="24"/>
        </w:rPr>
        <w:t>h differences</w:t>
      </w:r>
      <w:r w:rsidR="00CA28BC" w:rsidRPr="001E192F">
        <w:rPr>
          <w:szCs w:val="24"/>
        </w:rPr>
        <w:t xml:space="preserve"> ranging between 3 and 6 basis points</w:t>
      </w:r>
      <w:r w:rsidR="00993792" w:rsidRPr="001E192F">
        <w:rPr>
          <w:szCs w:val="24"/>
        </w:rPr>
        <w:t xml:space="preserve">.  </w:t>
      </w:r>
      <w:r w:rsidR="00465B48" w:rsidRPr="001E192F">
        <w:rPr>
          <w:szCs w:val="24"/>
        </w:rPr>
        <w:t xml:space="preserve">There may be many potential reasons for this minor discrepancy, but the most likely candidate is that of </w:t>
      </w:r>
      <w:r w:rsidR="003F6142" w:rsidRPr="001E192F">
        <w:rPr>
          <w:szCs w:val="24"/>
        </w:rPr>
        <w:t>data revisions</w:t>
      </w:r>
      <w:r w:rsidR="00993792" w:rsidRPr="001E192F">
        <w:rPr>
          <w:szCs w:val="24"/>
        </w:rPr>
        <w:t xml:space="preserve">.  </w:t>
      </w:r>
      <w:r w:rsidR="003F6142" w:rsidRPr="001E192F">
        <w:rPr>
          <w:szCs w:val="24"/>
        </w:rPr>
        <w:t>CR</w:t>
      </w:r>
      <w:r w:rsidR="00465B48" w:rsidRPr="001E192F">
        <w:rPr>
          <w:szCs w:val="24"/>
        </w:rPr>
        <w:t>S</w:t>
      </w:r>
      <w:r w:rsidR="003F6142" w:rsidRPr="001E192F">
        <w:rPr>
          <w:szCs w:val="24"/>
        </w:rPr>
        <w:t>P</w:t>
      </w:r>
      <w:r w:rsidR="00465B48" w:rsidRPr="001E192F">
        <w:rPr>
          <w:szCs w:val="24"/>
        </w:rPr>
        <w:t xml:space="preserve"> continually edits and revises the data, </w:t>
      </w:r>
      <w:r w:rsidR="002E005B" w:rsidRPr="001E192F">
        <w:rPr>
          <w:szCs w:val="24"/>
        </w:rPr>
        <w:t>and</w:t>
      </w:r>
      <w:r w:rsidR="003F6142" w:rsidRPr="001E192F">
        <w:rPr>
          <w:szCs w:val="24"/>
        </w:rPr>
        <w:t xml:space="preserve"> our data are</w:t>
      </w:r>
      <w:r w:rsidR="00465B48" w:rsidRPr="001E192F">
        <w:rPr>
          <w:szCs w:val="24"/>
        </w:rPr>
        <w:t xml:space="preserve"> from a 15-year later vintage</w:t>
      </w:r>
      <w:r w:rsidR="002E005B" w:rsidRPr="001E192F">
        <w:rPr>
          <w:szCs w:val="24"/>
        </w:rPr>
        <w:t xml:space="preserve">.  Therefore, although we use the same data period as </w:t>
      </w:r>
      <w:proofErr w:type="spellStart"/>
      <w:r w:rsidR="002E005B" w:rsidRPr="001E192F">
        <w:rPr>
          <w:szCs w:val="24"/>
        </w:rPr>
        <w:t>Ang</w:t>
      </w:r>
      <w:proofErr w:type="spellEnd"/>
      <w:r w:rsidR="002E005B" w:rsidRPr="001E192F">
        <w:rPr>
          <w:szCs w:val="24"/>
        </w:rPr>
        <w:t xml:space="preserve"> et al.</w:t>
      </w:r>
      <w:r w:rsidR="00465B48" w:rsidRPr="001E192F">
        <w:rPr>
          <w:szCs w:val="24"/>
        </w:rPr>
        <w:t>, the data published by CRSP i</w:t>
      </w:r>
      <w:r w:rsidR="00593C8D" w:rsidRPr="001E192F">
        <w:rPr>
          <w:szCs w:val="24"/>
        </w:rPr>
        <w:t xml:space="preserve">n 2001 and </w:t>
      </w:r>
      <w:r w:rsidR="002E005B" w:rsidRPr="001E192F">
        <w:rPr>
          <w:szCs w:val="24"/>
        </w:rPr>
        <w:t xml:space="preserve">2015 </w:t>
      </w:r>
      <w:r w:rsidR="00593C8D" w:rsidRPr="001E192F">
        <w:rPr>
          <w:szCs w:val="24"/>
        </w:rPr>
        <w:t>may not be</w:t>
      </w:r>
      <w:r w:rsidR="00F02D94" w:rsidRPr="001E192F">
        <w:rPr>
          <w:szCs w:val="24"/>
        </w:rPr>
        <w:t xml:space="preserve"> identical</w:t>
      </w:r>
      <w:r w:rsidR="00993792" w:rsidRPr="001E192F">
        <w:rPr>
          <w:szCs w:val="24"/>
        </w:rPr>
        <w:t xml:space="preserve">.  </w:t>
      </w:r>
      <w:r w:rsidR="00F02D94" w:rsidRPr="001E192F">
        <w:rPr>
          <w:szCs w:val="24"/>
        </w:rPr>
        <w:t>Our noted discrepancies are</w:t>
      </w:r>
      <w:r w:rsidR="00593C8D" w:rsidRPr="001E192F">
        <w:rPr>
          <w:szCs w:val="24"/>
        </w:rPr>
        <w:t xml:space="preserve"> quite minor, </w:t>
      </w:r>
      <w:r w:rsidR="00F02D94" w:rsidRPr="001E192F">
        <w:rPr>
          <w:szCs w:val="24"/>
        </w:rPr>
        <w:t xml:space="preserve">however, </w:t>
      </w:r>
      <w:r w:rsidR="00593C8D" w:rsidRPr="001E192F">
        <w:rPr>
          <w:szCs w:val="24"/>
        </w:rPr>
        <w:t xml:space="preserve">and we are confident that our revised test designs are consistent with </w:t>
      </w:r>
      <w:proofErr w:type="spellStart"/>
      <w:r w:rsidR="00593C8D" w:rsidRPr="001E192F">
        <w:rPr>
          <w:szCs w:val="24"/>
        </w:rPr>
        <w:t>Ang</w:t>
      </w:r>
      <w:proofErr w:type="spellEnd"/>
      <w:r w:rsidR="006803AD" w:rsidRPr="001E192F">
        <w:rPr>
          <w:szCs w:val="24"/>
        </w:rPr>
        <w:t xml:space="preserve"> et al.</w:t>
      </w:r>
      <w:r w:rsidR="002E005B" w:rsidRPr="001E192F">
        <w:rPr>
          <w:szCs w:val="24"/>
        </w:rPr>
        <w:t xml:space="preserve"> </w:t>
      </w:r>
      <w:r w:rsidR="00593C8D" w:rsidRPr="001E192F">
        <w:rPr>
          <w:szCs w:val="24"/>
        </w:rPr>
        <w:t>(2006)</w:t>
      </w:r>
      <w:r w:rsidR="00993792" w:rsidRPr="001E192F">
        <w:rPr>
          <w:szCs w:val="24"/>
        </w:rPr>
        <w:t xml:space="preserve">.  </w:t>
      </w:r>
    </w:p>
    <w:p w14:paraId="60E13269" w14:textId="0A98C02F" w:rsidR="000146E7" w:rsidRDefault="00053B4B" w:rsidP="009A2C29">
      <w:pPr>
        <w:spacing w:after="0" w:line="360" w:lineRule="auto"/>
        <w:rPr>
          <w:szCs w:val="24"/>
        </w:rPr>
      </w:pPr>
      <w:r w:rsidRPr="001E192F">
        <w:rPr>
          <w:szCs w:val="24"/>
        </w:rPr>
        <w:t>The t-sta</w:t>
      </w:r>
      <w:r w:rsidR="00F02D94" w:rsidRPr="001E192F">
        <w:rPr>
          <w:szCs w:val="24"/>
        </w:rPr>
        <w:t>tistics we report are somewhat</w:t>
      </w:r>
      <w:r w:rsidRPr="001E192F">
        <w:rPr>
          <w:szCs w:val="24"/>
        </w:rPr>
        <w:t xml:space="preserve"> di</w:t>
      </w:r>
      <w:r w:rsidR="00F02D94" w:rsidRPr="001E192F">
        <w:rPr>
          <w:szCs w:val="24"/>
        </w:rPr>
        <w:t xml:space="preserve">fferent </w:t>
      </w:r>
      <w:r w:rsidR="002E005B" w:rsidRPr="001E192F">
        <w:rPr>
          <w:szCs w:val="24"/>
        </w:rPr>
        <w:t xml:space="preserve">from </w:t>
      </w:r>
      <w:r w:rsidR="00F02D94" w:rsidRPr="001E192F">
        <w:rPr>
          <w:szCs w:val="24"/>
        </w:rPr>
        <w:t xml:space="preserve">those reported by </w:t>
      </w:r>
      <w:proofErr w:type="spellStart"/>
      <w:r w:rsidR="00F02D94" w:rsidRPr="001E192F">
        <w:rPr>
          <w:szCs w:val="24"/>
        </w:rPr>
        <w:t>Ang</w:t>
      </w:r>
      <w:proofErr w:type="spellEnd"/>
      <w:r w:rsidR="00F02D94" w:rsidRPr="001E192F">
        <w:rPr>
          <w:szCs w:val="24"/>
        </w:rPr>
        <w:t xml:space="preserve"> et al.</w:t>
      </w:r>
      <w:r w:rsidRPr="001E192F">
        <w:rPr>
          <w:szCs w:val="24"/>
        </w:rPr>
        <w:t>, b</w:t>
      </w:r>
      <w:r w:rsidR="0049451A" w:rsidRPr="001E192F">
        <w:rPr>
          <w:szCs w:val="24"/>
        </w:rPr>
        <w:t>ut we use a different methodology to estimate</w:t>
      </w:r>
      <w:r w:rsidRPr="001E192F">
        <w:rPr>
          <w:szCs w:val="24"/>
        </w:rPr>
        <w:t xml:space="preserve"> standard errors</w:t>
      </w:r>
      <w:r w:rsidR="00993792" w:rsidRPr="001E192F">
        <w:rPr>
          <w:szCs w:val="24"/>
        </w:rPr>
        <w:t xml:space="preserve">.  </w:t>
      </w:r>
      <w:r w:rsidR="0049451A" w:rsidRPr="001E192F">
        <w:rPr>
          <w:szCs w:val="24"/>
        </w:rPr>
        <w:t xml:space="preserve">We use OLS standard errors, while </w:t>
      </w:r>
      <w:proofErr w:type="spellStart"/>
      <w:r w:rsidR="0049451A" w:rsidRPr="001E192F">
        <w:rPr>
          <w:szCs w:val="24"/>
        </w:rPr>
        <w:t>Ang</w:t>
      </w:r>
      <w:proofErr w:type="spellEnd"/>
      <w:r w:rsidR="006803AD" w:rsidRPr="001E192F">
        <w:rPr>
          <w:szCs w:val="24"/>
        </w:rPr>
        <w:t xml:space="preserve"> et al.</w:t>
      </w:r>
      <w:r w:rsidR="002E005B" w:rsidRPr="001E192F">
        <w:rPr>
          <w:szCs w:val="24"/>
        </w:rPr>
        <w:t xml:space="preserve"> </w:t>
      </w:r>
      <w:r w:rsidR="0049451A" w:rsidRPr="001E192F">
        <w:rPr>
          <w:szCs w:val="24"/>
        </w:rPr>
        <w:t>use</w:t>
      </w:r>
      <w:r w:rsidRPr="001E192F">
        <w:rPr>
          <w:szCs w:val="24"/>
        </w:rPr>
        <w:t xml:space="preserve"> </w:t>
      </w:r>
      <w:proofErr w:type="spellStart"/>
      <w:r w:rsidRPr="001E192F">
        <w:rPr>
          <w:szCs w:val="24"/>
        </w:rPr>
        <w:t>Newey</w:t>
      </w:r>
      <w:proofErr w:type="spellEnd"/>
      <w:r w:rsidRPr="001E192F">
        <w:rPr>
          <w:szCs w:val="24"/>
        </w:rPr>
        <w:t>-West (1987) standard error</w:t>
      </w:r>
      <w:r w:rsidR="0049451A" w:rsidRPr="001E192F">
        <w:rPr>
          <w:szCs w:val="24"/>
        </w:rPr>
        <w:t>s</w:t>
      </w:r>
      <w:r w:rsidR="00993792" w:rsidRPr="001E192F">
        <w:rPr>
          <w:szCs w:val="24"/>
        </w:rPr>
        <w:t xml:space="preserve">.  </w:t>
      </w:r>
      <w:r w:rsidRPr="001E192F">
        <w:rPr>
          <w:szCs w:val="24"/>
        </w:rPr>
        <w:t xml:space="preserve">The purpose of our study is to examine the variation in the point estimates of the alphas rather than t-statistics in total, </w:t>
      </w:r>
      <w:r w:rsidR="00832A2F" w:rsidRPr="001E192F">
        <w:rPr>
          <w:szCs w:val="24"/>
        </w:rPr>
        <w:t xml:space="preserve">and thus </w:t>
      </w:r>
      <w:r w:rsidRPr="001E192F">
        <w:rPr>
          <w:szCs w:val="24"/>
        </w:rPr>
        <w:t>we do not replicate their standard error measurement.</w:t>
      </w:r>
    </w:p>
    <w:p w14:paraId="39C886E3" w14:textId="77777777" w:rsidR="008654F8" w:rsidRDefault="008654F8" w:rsidP="009A2C29">
      <w:pPr>
        <w:spacing w:after="0" w:line="360" w:lineRule="auto"/>
        <w:rPr>
          <w:szCs w:val="24"/>
        </w:rPr>
      </w:pPr>
    </w:p>
    <w:p w14:paraId="5CEB7D64" w14:textId="77777777" w:rsidR="008654F8" w:rsidRDefault="008654F8" w:rsidP="009A2C29">
      <w:pPr>
        <w:spacing w:after="0" w:line="360" w:lineRule="auto"/>
        <w:rPr>
          <w:szCs w:val="24"/>
        </w:rPr>
      </w:pPr>
    </w:p>
    <w:p w14:paraId="513657BE" w14:textId="77777777" w:rsidR="008654F8" w:rsidRPr="001E192F" w:rsidRDefault="008654F8" w:rsidP="009A2C29">
      <w:pPr>
        <w:spacing w:after="0" w:line="360" w:lineRule="auto"/>
        <w:rPr>
          <w:szCs w:val="24"/>
        </w:rPr>
      </w:pPr>
    </w:p>
    <w:p w14:paraId="2A737BDA" w14:textId="77777777" w:rsidR="006974EA" w:rsidRPr="001E192F" w:rsidRDefault="006974EA" w:rsidP="009A2C29">
      <w:pPr>
        <w:spacing w:after="0" w:line="360" w:lineRule="auto"/>
        <w:rPr>
          <w:szCs w:val="24"/>
        </w:rPr>
      </w:pPr>
    </w:p>
    <w:p w14:paraId="3A57C403" w14:textId="2CD0FBE0" w:rsidR="000146E7" w:rsidRPr="009A2C29" w:rsidRDefault="008654F8" w:rsidP="009A2C29">
      <w:pPr>
        <w:pStyle w:val="Title"/>
        <w:spacing w:after="0" w:line="360" w:lineRule="auto"/>
        <w:jc w:val="left"/>
        <w:rPr>
          <w:rFonts w:cs="Times New Roman"/>
          <w:szCs w:val="24"/>
        </w:rPr>
      </w:pPr>
      <w:r>
        <w:rPr>
          <w:rFonts w:cs="Times New Roman"/>
          <w:szCs w:val="24"/>
        </w:rPr>
        <w:lastRenderedPageBreak/>
        <w:t xml:space="preserve">3.  </w:t>
      </w:r>
      <w:r w:rsidR="000146E7" w:rsidRPr="009A2C29">
        <w:rPr>
          <w:rFonts w:cs="Times New Roman"/>
          <w:szCs w:val="24"/>
        </w:rPr>
        <w:t>Alternative Designs for Pricing Idiosyncratic Volatility</w:t>
      </w:r>
    </w:p>
    <w:p w14:paraId="1039D356" w14:textId="3883E9A3" w:rsidR="00083E1E" w:rsidRPr="001E192F" w:rsidRDefault="000146E7" w:rsidP="009A2C29">
      <w:pPr>
        <w:spacing w:after="0" w:line="360" w:lineRule="auto"/>
        <w:rPr>
          <w:szCs w:val="24"/>
        </w:rPr>
      </w:pPr>
      <w:r w:rsidRPr="001E192F">
        <w:rPr>
          <w:szCs w:val="24"/>
        </w:rPr>
        <w:t xml:space="preserve">Many studies subsequent to </w:t>
      </w:r>
      <w:proofErr w:type="spellStart"/>
      <w:r w:rsidRPr="001E192F">
        <w:rPr>
          <w:szCs w:val="24"/>
        </w:rPr>
        <w:t>Ang</w:t>
      </w:r>
      <w:proofErr w:type="spellEnd"/>
      <w:r w:rsidR="006803AD" w:rsidRPr="001E192F">
        <w:rPr>
          <w:szCs w:val="24"/>
        </w:rPr>
        <w:t xml:space="preserve"> et al.</w:t>
      </w:r>
      <w:r w:rsidR="002E005B" w:rsidRPr="001E192F">
        <w:rPr>
          <w:szCs w:val="24"/>
        </w:rPr>
        <w:t xml:space="preserve"> </w:t>
      </w:r>
      <w:r w:rsidRPr="001E192F">
        <w:rPr>
          <w:szCs w:val="24"/>
        </w:rPr>
        <w:t>(2006) examine</w:t>
      </w:r>
      <w:r w:rsidR="00873061" w:rsidRPr="001E192F">
        <w:rPr>
          <w:szCs w:val="24"/>
        </w:rPr>
        <w:t xml:space="preserve"> the puzzling relation presented</w:t>
      </w:r>
      <w:r w:rsidRPr="001E192F">
        <w:rPr>
          <w:szCs w:val="24"/>
        </w:rPr>
        <w:t xml:space="preserve"> in Table 1</w:t>
      </w:r>
      <w:r w:rsidR="00993792" w:rsidRPr="001E192F">
        <w:rPr>
          <w:szCs w:val="24"/>
        </w:rPr>
        <w:t xml:space="preserve">.  </w:t>
      </w:r>
      <w:r w:rsidRPr="001E192F">
        <w:rPr>
          <w:szCs w:val="24"/>
        </w:rPr>
        <w:t>In this section, we review some of these studies and describe how we use thei</w:t>
      </w:r>
      <w:r w:rsidR="00593C8D" w:rsidRPr="001E192F">
        <w:rPr>
          <w:szCs w:val="24"/>
        </w:rPr>
        <w:t xml:space="preserve">r findings to create </w:t>
      </w:r>
      <w:r w:rsidRPr="001E192F">
        <w:rPr>
          <w:szCs w:val="24"/>
        </w:rPr>
        <w:t xml:space="preserve">alternative </w:t>
      </w:r>
      <w:r w:rsidR="00593C8D" w:rsidRPr="001E192F">
        <w:rPr>
          <w:szCs w:val="24"/>
        </w:rPr>
        <w:t>empirical test designs</w:t>
      </w:r>
      <w:r w:rsidR="00993792" w:rsidRPr="001E192F">
        <w:rPr>
          <w:szCs w:val="24"/>
        </w:rPr>
        <w:t xml:space="preserve">.  </w:t>
      </w:r>
    </w:p>
    <w:p w14:paraId="75255A89" w14:textId="77777777" w:rsidR="00832A2F" w:rsidRPr="001E192F" w:rsidRDefault="00832A2F" w:rsidP="009A2C29">
      <w:pPr>
        <w:spacing w:after="0" w:line="360" w:lineRule="auto"/>
        <w:rPr>
          <w:szCs w:val="24"/>
        </w:rPr>
      </w:pPr>
    </w:p>
    <w:p w14:paraId="156D4C8F" w14:textId="685B90C5" w:rsidR="00083E1E" w:rsidRPr="008654F8" w:rsidRDefault="008654F8" w:rsidP="009A2C29">
      <w:pPr>
        <w:pStyle w:val="Subtitle"/>
        <w:spacing w:line="360" w:lineRule="auto"/>
        <w:ind w:firstLine="0"/>
        <w:rPr>
          <w:rFonts w:cs="Times New Roman"/>
          <w:b/>
          <w:i w:val="0"/>
          <w:szCs w:val="24"/>
        </w:rPr>
      </w:pPr>
      <w:proofErr w:type="gramStart"/>
      <w:r w:rsidRPr="008654F8">
        <w:rPr>
          <w:rFonts w:cs="Times New Roman"/>
          <w:b/>
          <w:i w:val="0"/>
          <w:szCs w:val="24"/>
        </w:rPr>
        <w:t xml:space="preserve">3.1  </w:t>
      </w:r>
      <w:r w:rsidR="00083E1E" w:rsidRPr="008654F8">
        <w:rPr>
          <w:rFonts w:cs="Times New Roman"/>
          <w:b/>
          <w:i w:val="0"/>
          <w:szCs w:val="24"/>
        </w:rPr>
        <w:t>Portfolio</w:t>
      </w:r>
      <w:proofErr w:type="gramEnd"/>
      <w:r w:rsidR="00083E1E" w:rsidRPr="008654F8">
        <w:rPr>
          <w:rFonts w:cs="Times New Roman"/>
          <w:b/>
          <w:i w:val="0"/>
          <w:szCs w:val="24"/>
        </w:rPr>
        <w:t xml:space="preserve"> Weighting</w:t>
      </w:r>
    </w:p>
    <w:p w14:paraId="32FA3957" w14:textId="338E831F" w:rsidR="00083E1E" w:rsidRPr="001E192F" w:rsidRDefault="0024787C" w:rsidP="009A2C29">
      <w:pPr>
        <w:spacing w:after="0" w:line="360" w:lineRule="auto"/>
        <w:rPr>
          <w:szCs w:val="24"/>
        </w:rPr>
      </w:pPr>
      <w:r w:rsidRPr="001E192F">
        <w:rPr>
          <w:szCs w:val="24"/>
        </w:rPr>
        <w:t xml:space="preserve">In their thorough investigation of the robustness of the negative relation between idiosyncratic volatility and alpha, Bali and </w:t>
      </w:r>
      <w:proofErr w:type="spellStart"/>
      <w:r w:rsidRPr="001E192F">
        <w:rPr>
          <w:szCs w:val="24"/>
        </w:rPr>
        <w:t>Cakici</w:t>
      </w:r>
      <w:proofErr w:type="spellEnd"/>
      <w:r w:rsidRPr="001E192F">
        <w:rPr>
          <w:szCs w:val="24"/>
        </w:rPr>
        <w:t xml:space="preserve"> (2008) identify two key methodological issues that affect inference</w:t>
      </w:r>
      <w:r w:rsidR="00993792" w:rsidRPr="001E192F">
        <w:rPr>
          <w:szCs w:val="24"/>
        </w:rPr>
        <w:t xml:space="preserve">.  </w:t>
      </w:r>
      <w:r w:rsidRPr="001E192F">
        <w:rPr>
          <w:szCs w:val="24"/>
        </w:rPr>
        <w:t>The first issue is the weighting scheme of the portfolios</w:t>
      </w:r>
      <w:r w:rsidR="00993792" w:rsidRPr="001E192F">
        <w:rPr>
          <w:szCs w:val="24"/>
        </w:rPr>
        <w:t xml:space="preserve">.  </w:t>
      </w:r>
      <w:r w:rsidR="000146E7" w:rsidRPr="001E192F">
        <w:rPr>
          <w:szCs w:val="24"/>
        </w:rPr>
        <w:t>The standard in empirical asset</w:t>
      </w:r>
      <w:r w:rsidRPr="001E192F">
        <w:rPr>
          <w:szCs w:val="24"/>
        </w:rPr>
        <w:t xml:space="preserve"> pricing</w:t>
      </w:r>
      <w:r w:rsidR="00832A2F" w:rsidRPr="001E192F">
        <w:rPr>
          <w:szCs w:val="24"/>
        </w:rPr>
        <w:t xml:space="preserve"> research</w:t>
      </w:r>
      <w:r w:rsidRPr="001E192F">
        <w:rPr>
          <w:szCs w:val="24"/>
        </w:rPr>
        <w:t xml:space="preserve"> is to report </w:t>
      </w:r>
      <w:r w:rsidR="000146E7" w:rsidRPr="001E192F">
        <w:rPr>
          <w:szCs w:val="24"/>
        </w:rPr>
        <w:t>value-weighted portfolio results</w:t>
      </w:r>
      <w:r w:rsidRPr="001E192F">
        <w:rPr>
          <w:szCs w:val="24"/>
        </w:rPr>
        <w:t xml:space="preserve"> at the very least, and m</w:t>
      </w:r>
      <w:r w:rsidR="000146E7" w:rsidRPr="001E192F">
        <w:rPr>
          <w:szCs w:val="24"/>
        </w:rPr>
        <w:t>any researchers eschew reporting equal-weight</w:t>
      </w:r>
      <w:r w:rsidR="0049451A" w:rsidRPr="001E192F">
        <w:rPr>
          <w:szCs w:val="24"/>
        </w:rPr>
        <w:t>ed</w:t>
      </w:r>
      <w:r w:rsidR="000146E7" w:rsidRPr="001E192F">
        <w:rPr>
          <w:szCs w:val="24"/>
        </w:rPr>
        <w:t xml:space="preserve"> portfolio results</w:t>
      </w:r>
      <w:r w:rsidR="00993792" w:rsidRPr="001E192F">
        <w:rPr>
          <w:szCs w:val="24"/>
        </w:rPr>
        <w:t xml:space="preserve">.  </w:t>
      </w:r>
      <w:proofErr w:type="spellStart"/>
      <w:r w:rsidR="000B025D" w:rsidRPr="001E192F">
        <w:rPr>
          <w:szCs w:val="24"/>
        </w:rPr>
        <w:t>Ang</w:t>
      </w:r>
      <w:proofErr w:type="spellEnd"/>
      <w:r w:rsidR="000B025D" w:rsidRPr="001E192F">
        <w:rPr>
          <w:szCs w:val="24"/>
        </w:rPr>
        <w:t xml:space="preserve"> </w:t>
      </w:r>
      <w:r w:rsidR="002E005B" w:rsidRPr="001E192F">
        <w:rPr>
          <w:szCs w:val="24"/>
        </w:rPr>
        <w:t xml:space="preserve">et al. </w:t>
      </w:r>
      <w:r w:rsidR="000B025D" w:rsidRPr="001E192F">
        <w:rPr>
          <w:szCs w:val="24"/>
        </w:rPr>
        <w:t xml:space="preserve">(2006) examine </w:t>
      </w:r>
      <w:r w:rsidRPr="001E192F">
        <w:rPr>
          <w:szCs w:val="24"/>
        </w:rPr>
        <w:t>only</w:t>
      </w:r>
      <w:r w:rsidR="000146E7" w:rsidRPr="001E192F">
        <w:rPr>
          <w:szCs w:val="24"/>
        </w:rPr>
        <w:t xml:space="preserve"> value-weighted portfolios</w:t>
      </w:r>
      <w:r w:rsidR="00993792" w:rsidRPr="001E192F">
        <w:rPr>
          <w:szCs w:val="24"/>
        </w:rPr>
        <w:t xml:space="preserve">.  </w:t>
      </w:r>
      <w:r w:rsidR="000146E7" w:rsidRPr="001E192F">
        <w:rPr>
          <w:szCs w:val="24"/>
        </w:rPr>
        <w:t xml:space="preserve">Bali and </w:t>
      </w:r>
      <w:proofErr w:type="spellStart"/>
      <w:r w:rsidR="000146E7" w:rsidRPr="001E192F">
        <w:rPr>
          <w:szCs w:val="24"/>
        </w:rPr>
        <w:t>Cakici</w:t>
      </w:r>
      <w:proofErr w:type="spellEnd"/>
      <w:r w:rsidR="000146E7" w:rsidRPr="001E192F">
        <w:rPr>
          <w:szCs w:val="24"/>
        </w:rPr>
        <w:t xml:space="preserve"> (2008)</w:t>
      </w:r>
      <w:r w:rsidRPr="001E192F">
        <w:rPr>
          <w:szCs w:val="24"/>
        </w:rPr>
        <w:t>, however,</w:t>
      </w:r>
      <w:r w:rsidR="000146E7" w:rsidRPr="001E192F">
        <w:rPr>
          <w:szCs w:val="24"/>
        </w:rPr>
        <w:t xml:space="preserve"> find that the magnit</w:t>
      </w:r>
      <w:r w:rsidR="00680C53" w:rsidRPr="001E192F">
        <w:rPr>
          <w:szCs w:val="24"/>
        </w:rPr>
        <w:t>ude of the alpha is mitigated by the selection of</w:t>
      </w:r>
      <w:r w:rsidR="000146E7" w:rsidRPr="001E192F">
        <w:rPr>
          <w:szCs w:val="24"/>
        </w:rPr>
        <w:t xml:space="preserve"> equal-weighted portfolios.</w:t>
      </w:r>
    </w:p>
    <w:p w14:paraId="7AD47D5D" w14:textId="7BBA3EAF" w:rsidR="00680C53" w:rsidRPr="001E192F" w:rsidRDefault="000146E7" w:rsidP="009A2C29">
      <w:pPr>
        <w:spacing w:after="0" w:line="360" w:lineRule="auto"/>
        <w:rPr>
          <w:szCs w:val="24"/>
        </w:rPr>
      </w:pPr>
      <w:r w:rsidRPr="001E192F">
        <w:rPr>
          <w:szCs w:val="24"/>
        </w:rPr>
        <w:t xml:space="preserve"> </w:t>
      </w:r>
      <w:r w:rsidR="00083E1E" w:rsidRPr="001E192F">
        <w:rPr>
          <w:szCs w:val="24"/>
        </w:rPr>
        <w:t>The choice of reporting alphas for equal-weighted portfolios in addition to value-weighted portfolios is an important one, and the effects of this choice on the interpretation of the re</w:t>
      </w:r>
      <w:r w:rsidR="000B025D" w:rsidRPr="001E192F">
        <w:rPr>
          <w:szCs w:val="24"/>
        </w:rPr>
        <w:t>sults of asset-</w:t>
      </w:r>
      <w:r w:rsidR="00083E1E" w:rsidRPr="001E192F">
        <w:rPr>
          <w:szCs w:val="24"/>
        </w:rPr>
        <w:t>pricing test</w:t>
      </w:r>
      <w:r w:rsidR="000B025D" w:rsidRPr="001E192F">
        <w:rPr>
          <w:szCs w:val="24"/>
        </w:rPr>
        <w:t>s</w:t>
      </w:r>
      <w:r w:rsidR="00083E1E" w:rsidRPr="001E192F">
        <w:rPr>
          <w:szCs w:val="24"/>
        </w:rPr>
        <w:t xml:space="preserve"> need to be examined</w:t>
      </w:r>
      <w:r w:rsidR="00993792" w:rsidRPr="001E192F">
        <w:rPr>
          <w:szCs w:val="24"/>
        </w:rPr>
        <w:t xml:space="preserve">.  </w:t>
      </w:r>
      <w:r w:rsidR="00083E1E" w:rsidRPr="001E192F">
        <w:rPr>
          <w:szCs w:val="24"/>
        </w:rPr>
        <w:t>The return on an eq</w:t>
      </w:r>
      <w:r w:rsidR="0049451A" w:rsidRPr="001E192F">
        <w:rPr>
          <w:szCs w:val="24"/>
        </w:rPr>
        <w:t>ual-weighted portfolio better describes the return of a</w:t>
      </w:r>
      <w:r w:rsidR="00083E1E" w:rsidRPr="001E192F">
        <w:rPr>
          <w:szCs w:val="24"/>
        </w:rPr>
        <w:t xml:space="preserve"> typical </w:t>
      </w:r>
      <w:r w:rsidR="0049451A" w:rsidRPr="001E192F">
        <w:rPr>
          <w:szCs w:val="24"/>
        </w:rPr>
        <w:t>stock in the portfolio</w:t>
      </w:r>
      <w:r w:rsidR="00993792" w:rsidRPr="001E192F">
        <w:rPr>
          <w:szCs w:val="24"/>
        </w:rPr>
        <w:t xml:space="preserve">.  </w:t>
      </w:r>
      <w:proofErr w:type="gramStart"/>
      <w:r w:rsidR="0049451A" w:rsidRPr="001E192F">
        <w:rPr>
          <w:szCs w:val="24"/>
        </w:rPr>
        <w:t>P</w:t>
      </w:r>
      <w:r w:rsidR="00083E1E" w:rsidRPr="001E192F">
        <w:rPr>
          <w:szCs w:val="24"/>
        </w:rPr>
        <w:t>o</w:t>
      </w:r>
      <w:r w:rsidR="000B025D" w:rsidRPr="001E192F">
        <w:rPr>
          <w:szCs w:val="24"/>
        </w:rPr>
        <w:t xml:space="preserve">rtfolio </w:t>
      </w:r>
      <w:r w:rsidR="00213AB3" w:rsidRPr="001E192F">
        <w:rPr>
          <w:szCs w:val="24"/>
        </w:rPr>
        <w:t>returns</w:t>
      </w:r>
      <w:r w:rsidR="0049451A" w:rsidRPr="001E192F">
        <w:rPr>
          <w:szCs w:val="24"/>
        </w:rPr>
        <w:t>, however,</w:t>
      </w:r>
      <w:r w:rsidR="00213AB3" w:rsidRPr="001E192F">
        <w:rPr>
          <w:szCs w:val="24"/>
        </w:rPr>
        <w:t xml:space="preserve"> may be overly influenced</w:t>
      </w:r>
      <w:r w:rsidR="00083E1E" w:rsidRPr="001E192F">
        <w:rPr>
          <w:szCs w:val="24"/>
        </w:rPr>
        <w:t xml:space="preserve"> by small, illiquid stocks</w:t>
      </w:r>
      <w:proofErr w:type="gramEnd"/>
      <w:r w:rsidR="00993792" w:rsidRPr="001E192F">
        <w:rPr>
          <w:szCs w:val="24"/>
        </w:rPr>
        <w:t xml:space="preserve">.  </w:t>
      </w:r>
      <w:r w:rsidR="00213AB3" w:rsidRPr="001E192F">
        <w:rPr>
          <w:szCs w:val="24"/>
        </w:rPr>
        <w:t xml:space="preserve">Value </w:t>
      </w:r>
      <w:r w:rsidR="00083E1E" w:rsidRPr="001E192F">
        <w:rPr>
          <w:szCs w:val="24"/>
        </w:rPr>
        <w:t xml:space="preserve">weighting </w:t>
      </w:r>
      <w:r w:rsidR="0049451A" w:rsidRPr="001E192F">
        <w:rPr>
          <w:szCs w:val="24"/>
        </w:rPr>
        <w:t>better captures the experience of a</w:t>
      </w:r>
      <w:r w:rsidR="00083E1E" w:rsidRPr="001E192F">
        <w:rPr>
          <w:szCs w:val="24"/>
        </w:rPr>
        <w:t xml:space="preserve"> typical investor in the stocks of the portfolio, but value-weig</w:t>
      </w:r>
      <w:r w:rsidR="000B025D" w:rsidRPr="001E192F">
        <w:rPr>
          <w:szCs w:val="24"/>
        </w:rPr>
        <w:t xml:space="preserve">hted portfolios may not be well </w:t>
      </w:r>
      <w:r w:rsidR="00083E1E" w:rsidRPr="001E192F">
        <w:rPr>
          <w:szCs w:val="24"/>
        </w:rPr>
        <w:t xml:space="preserve">diversified (e.g., </w:t>
      </w:r>
      <w:proofErr w:type="spellStart"/>
      <w:r w:rsidR="00083E1E" w:rsidRPr="001E192F">
        <w:rPr>
          <w:szCs w:val="24"/>
        </w:rPr>
        <w:t>Malevergne</w:t>
      </w:r>
      <w:proofErr w:type="spellEnd"/>
      <w:r w:rsidR="00832A2F" w:rsidRPr="001E192F">
        <w:rPr>
          <w:szCs w:val="24"/>
        </w:rPr>
        <w:t xml:space="preserve"> et al.,</w:t>
      </w:r>
      <w:r w:rsidR="00083E1E" w:rsidRPr="001E192F">
        <w:rPr>
          <w:szCs w:val="24"/>
        </w:rPr>
        <w:t xml:space="preserve"> 2009)</w:t>
      </w:r>
      <w:r w:rsidR="00993792" w:rsidRPr="001E192F">
        <w:rPr>
          <w:szCs w:val="24"/>
        </w:rPr>
        <w:t xml:space="preserve">.  </w:t>
      </w:r>
      <w:proofErr w:type="spellStart"/>
      <w:r w:rsidR="00B0114A" w:rsidRPr="001E192F">
        <w:rPr>
          <w:szCs w:val="24"/>
        </w:rPr>
        <w:t>Fama</w:t>
      </w:r>
      <w:proofErr w:type="spellEnd"/>
      <w:r w:rsidR="00B0114A" w:rsidRPr="001E192F">
        <w:rPr>
          <w:szCs w:val="24"/>
        </w:rPr>
        <w:t xml:space="preserve"> and French (2008) advocate the use equal-</w:t>
      </w:r>
      <w:r w:rsidR="00213AB3" w:rsidRPr="001E192F">
        <w:rPr>
          <w:szCs w:val="24"/>
        </w:rPr>
        <w:t xml:space="preserve">weighted </w:t>
      </w:r>
      <w:r w:rsidR="00B0114A" w:rsidRPr="001E192F">
        <w:rPr>
          <w:szCs w:val="24"/>
        </w:rPr>
        <w:t xml:space="preserve">portfolios </w:t>
      </w:r>
      <w:r w:rsidR="00F06EB9" w:rsidRPr="001E192F">
        <w:rPr>
          <w:szCs w:val="24"/>
        </w:rPr>
        <w:t>in addition to value-weighted portfolio</w:t>
      </w:r>
      <w:r w:rsidR="00832A2F" w:rsidRPr="001E192F">
        <w:rPr>
          <w:szCs w:val="24"/>
        </w:rPr>
        <w:t>s.  W</w:t>
      </w:r>
      <w:r w:rsidR="00B0114A" w:rsidRPr="001E192F">
        <w:rPr>
          <w:szCs w:val="24"/>
        </w:rPr>
        <w:t>e r</w:t>
      </w:r>
      <w:r w:rsidR="00213AB3" w:rsidRPr="001E192F">
        <w:rPr>
          <w:szCs w:val="24"/>
        </w:rPr>
        <w:t xml:space="preserve">eport </w:t>
      </w:r>
      <w:r w:rsidR="00B0114A" w:rsidRPr="001E192F">
        <w:rPr>
          <w:szCs w:val="24"/>
        </w:rPr>
        <w:t>both value-weighted and equal-</w:t>
      </w:r>
      <w:r w:rsidR="00213AB3" w:rsidRPr="001E192F">
        <w:rPr>
          <w:szCs w:val="24"/>
        </w:rPr>
        <w:t xml:space="preserve">weighted </w:t>
      </w:r>
      <w:r w:rsidR="00B0114A" w:rsidRPr="001E192F">
        <w:rPr>
          <w:szCs w:val="24"/>
        </w:rPr>
        <w:t xml:space="preserve">portfolio results </w:t>
      </w:r>
      <w:r w:rsidR="00BC5C85" w:rsidRPr="001E192F">
        <w:rPr>
          <w:szCs w:val="24"/>
        </w:rPr>
        <w:t>for all of our test designs.</w:t>
      </w:r>
    </w:p>
    <w:p w14:paraId="7B1B3A71" w14:textId="77777777" w:rsidR="00832A2F" w:rsidRPr="001E192F" w:rsidRDefault="00832A2F" w:rsidP="009A2C29">
      <w:pPr>
        <w:spacing w:after="0" w:line="360" w:lineRule="auto"/>
        <w:rPr>
          <w:szCs w:val="24"/>
        </w:rPr>
      </w:pPr>
    </w:p>
    <w:p w14:paraId="25353858" w14:textId="1BCDD1F3" w:rsidR="00083E1E" w:rsidRPr="008654F8" w:rsidRDefault="008654F8" w:rsidP="009A2C29">
      <w:pPr>
        <w:pStyle w:val="Subtitle"/>
        <w:spacing w:line="360" w:lineRule="auto"/>
        <w:ind w:firstLine="0"/>
        <w:rPr>
          <w:rFonts w:cs="Times New Roman"/>
          <w:b/>
          <w:i w:val="0"/>
          <w:szCs w:val="24"/>
        </w:rPr>
      </w:pPr>
      <w:proofErr w:type="gramStart"/>
      <w:r w:rsidRPr="008654F8">
        <w:rPr>
          <w:rFonts w:cs="Times New Roman"/>
          <w:b/>
          <w:i w:val="0"/>
          <w:szCs w:val="24"/>
        </w:rPr>
        <w:t xml:space="preserve">3.2  </w:t>
      </w:r>
      <w:r w:rsidR="001128A3" w:rsidRPr="008654F8">
        <w:rPr>
          <w:rFonts w:cs="Times New Roman"/>
          <w:b/>
          <w:i w:val="0"/>
          <w:szCs w:val="24"/>
        </w:rPr>
        <w:t>Portfolio</w:t>
      </w:r>
      <w:proofErr w:type="gramEnd"/>
      <w:r w:rsidR="001128A3" w:rsidRPr="008654F8">
        <w:rPr>
          <w:rFonts w:cs="Times New Roman"/>
          <w:b/>
          <w:i w:val="0"/>
          <w:szCs w:val="24"/>
        </w:rPr>
        <w:t xml:space="preserve"> Breakpoints</w:t>
      </w:r>
    </w:p>
    <w:p w14:paraId="0B31D31D" w14:textId="77777777" w:rsidR="00DC217B" w:rsidRPr="001E192F" w:rsidRDefault="00DC217B" w:rsidP="009A2C29">
      <w:pPr>
        <w:pStyle w:val="Mydefault"/>
        <w:spacing w:line="360" w:lineRule="auto"/>
        <w:rPr>
          <w:b w:val="0"/>
          <w:color w:val="FF0000"/>
        </w:rPr>
      </w:pPr>
      <w:r w:rsidRPr="001E192F">
        <w:rPr>
          <w:rFonts w:eastAsiaTheme="minorEastAsia"/>
          <w:b w:val="0"/>
          <w:iCs/>
          <w:color w:val="1A1A1A"/>
        </w:rPr>
        <w:t xml:space="preserve">In order to form a set of portfolios based on some variable, such as idiosyncratic volatility, researchers must choose some value, or breakpoint, to use to break up the sample of stocks in order to assign them to portfolios. Two common methods have developed to form portfolio </w:t>
      </w:r>
      <w:proofErr w:type="spellStart"/>
      <w:r w:rsidRPr="001E192F">
        <w:rPr>
          <w:rFonts w:eastAsiaTheme="minorEastAsia"/>
          <w:b w:val="0"/>
          <w:iCs/>
          <w:color w:val="1A1A1A"/>
        </w:rPr>
        <w:t>quantiles</w:t>
      </w:r>
      <w:proofErr w:type="spellEnd"/>
      <w:r w:rsidRPr="001E192F">
        <w:rPr>
          <w:rFonts w:eastAsiaTheme="minorEastAsia"/>
          <w:b w:val="0"/>
          <w:iCs/>
          <w:color w:val="1A1A1A"/>
        </w:rPr>
        <w:t xml:space="preserve">.  The first, called CRSP breakpoints, is to compute </w:t>
      </w:r>
      <w:proofErr w:type="spellStart"/>
      <w:r w:rsidRPr="001E192F">
        <w:rPr>
          <w:rFonts w:eastAsiaTheme="minorEastAsia"/>
          <w:b w:val="0"/>
          <w:iCs/>
          <w:color w:val="1A1A1A"/>
        </w:rPr>
        <w:t>quantile</w:t>
      </w:r>
      <w:proofErr w:type="spellEnd"/>
      <w:r w:rsidRPr="001E192F">
        <w:rPr>
          <w:rFonts w:eastAsiaTheme="minorEastAsia"/>
          <w:b w:val="0"/>
          <w:iCs/>
          <w:color w:val="1A1A1A"/>
        </w:rPr>
        <w:t xml:space="preserve"> breakpoints using all stocks available on CRSP.  These so-called "CRSP breakpoints" have the advantage of maximizing dispersion of the variable used to form the portfolios. The second method, used by </w:t>
      </w:r>
      <w:proofErr w:type="spellStart"/>
      <w:r w:rsidRPr="001E192F">
        <w:rPr>
          <w:rFonts w:eastAsiaTheme="minorEastAsia"/>
          <w:b w:val="0"/>
          <w:iCs/>
          <w:color w:val="1A1A1A"/>
        </w:rPr>
        <w:t>Fama</w:t>
      </w:r>
      <w:proofErr w:type="spellEnd"/>
      <w:r w:rsidRPr="001E192F">
        <w:rPr>
          <w:rFonts w:eastAsiaTheme="minorEastAsia"/>
          <w:b w:val="0"/>
          <w:iCs/>
          <w:color w:val="1A1A1A"/>
        </w:rPr>
        <w:t xml:space="preserve"> and French (1992), is to set breakpoints for </w:t>
      </w:r>
      <w:proofErr w:type="spellStart"/>
      <w:r w:rsidRPr="001E192F">
        <w:rPr>
          <w:rFonts w:eastAsiaTheme="minorEastAsia"/>
          <w:b w:val="0"/>
          <w:iCs/>
          <w:color w:val="1A1A1A"/>
        </w:rPr>
        <w:t>quantiles</w:t>
      </w:r>
      <w:proofErr w:type="spellEnd"/>
      <w:r w:rsidRPr="001E192F">
        <w:rPr>
          <w:rFonts w:eastAsiaTheme="minorEastAsia"/>
          <w:b w:val="0"/>
          <w:iCs/>
          <w:color w:val="1A1A1A"/>
        </w:rPr>
        <w:t xml:space="preserve"> of stocks trading on the NYSE.  </w:t>
      </w:r>
      <w:r w:rsidRPr="001E192F">
        <w:rPr>
          <w:rFonts w:eastAsiaTheme="minorEastAsia"/>
          <w:b w:val="0"/>
          <w:iCs/>
          <w:color w:val="1A1A1A"/>
        </w:rPr>
        <w:lastRenderedPageBreak/>
        <w:t>These so-called "NYSE breakpoints" ensure that large, liquid stocks appear in all of the portfolios.</w:t>
      </w:r>
      <w:r w:rsidRPr="001E192F">
        <w:rPr>
          <w:b w:val="0"/>
          <w:color w:val="FF0000"/>
        </w:rPr>
        <w:t xml:space="preserve"> </w:t>
      </w:r>
    </w:p>
    <w:p w14:paraId="08657729" w14:textId="69576E6E" w:rsidR="00DC217B" w:rsidRPr="001E192F" w:rsidRDefault="00DC217B" w:rsidP="009A2C29">
      <w:pPr>
        <w:pStyle w:val="Mydefault"/>
        <w:spacing w:line="360" w:lineRule="auto"/>
        <w:rPr>
          <w:b w:val="0"/>
          <w:color w:val="FF0000"/>
        </w:rPr>
      </w:pPr>
      <w:r w:rsidRPr="001E192F">
        <w:rPr>
          <w:rFonts w:eastAsiaTheme="minorEastAsia"/>
          <w:b w:val="0"/>
          <w:iCs/>
          <w:color w:val="1A1A1A"/>
        </w:rPr>
        <w:t xml:space="preserve">The second key issue identified by Bali and </w:t>
      </w:r>
      <w:proofErr w:type="spellStart"/>
      <w:r w:rsidRPr="001E192F">
        <w:rPr>
          <w:rFonts w:eastAsiaTheme="minorEastAsia"/>
          <w:b w:val="0"/>
          <w:iCs/>
          <w:color w:val="1A1A1A"/>
        </w:rPr>
        <w:t>Cakici</w:t>
      </w:r>
      <w:proofErr w:type="spellEnd"/>
      <w:r w:rsidRPr="001E192F">
        <w:rPr>
          <w:rFonts w:eastAsiaTheme="minorEastAsia"/>
          <w:b w:val="0"/>
          <w:iCs/>
          <w:color w:val="1A1A1A"/>
        </w:rPr>
        <w:t xml:space="preserve"> (2008) is that the conclusions of </w:t>
      </w:r>
      <w:proofErr w:type="spellStart"/>
      <w:r w:rsidRPr="001E192F">
        <w:rPr>
          <w:rFonts w:eastAsiaTheme="minorEastAsia"/>
          <w:b w:val="0"/>
          <w:iCs/>
          <w:color w:val="1A1A1A"/>
        </w:rPr>
        <w:t>Ang</w:t>
      </w:r>
      <w:proofErr w:type="spellEnd"/>
      <w:r w:rsidRPr="001E192F">
        <w:rPr>
          <w:rFonts w:eastAsiaTheme="minorEastAsia"/>
          <w:b w:val="0"/>
          <w:iCs/>
          <w:color w:val="1A1A1A"/>
        </w:rPr>
        <w:t xml:space="preserve">, et al. (2006) </w:t>
      </w:r>
      <w:proofErr w:type="gramStart"/>
      <w:r w:rsidRPr="001E192F">
        <w:rPr>
          <w:rFonts w:eastAsiaTheme="minorEastAsia"/>
          <w:b w:val="0"/>
          <w:iCs/>
          <w:color w:val="1A1A1A"/>
        </w:rPr>
        <w:t>depend</w:t>
      </w:r>
      <w:proofErr w:type="gramEnd"/>
      <w:r w:rsidRPr="001E192F">
        <w:rPr>
          <w:rFonts w:eastAsiaTheme="minorEastAsia"/>
          <w:b w:val="0"/>
          <w:iCs/>
          <w:color w:val="1A1A1A"/>
        </w:rPr>
        <w:t xml:space="preserve"> on the choice of breakpoints. </w:t>
      </w:r>
      <w:proofErr w:type="spellStart"/>
      <w:r w:rsidRPr="001E192F">
        <w:rPr>
          <w:rFonts w:eastAsiaTheme="minorEastAsia"/>
          <w:b w:val="0"/>
          <w:iCs/>
          <w:color w:val="1A1A1A"/>
        </w:rPr>
        <w:t>Ang</w:t>
      </w:r>
      <w:proofErr w:type="spellEnd"/>
      <w:r w:rsidRPr="001E192F">
        <w:rPr>
          <w:rFonts w:eastAsiaTheme="minorEastAsia"/>
          <w:b w:val="0"/>
          <w:iCs/>
          <w:color w:val="1A1A1A"/>
        </w:rPr>
        <w:t xml:space="preserve">, et al. (2006) only use CRSP breakpoints thorough their study. When replacing the CRSP breakpoints with NYSE breakpoints, Bali and </w:t>
      </w:r>
      <w:proofErr w:type="spellStart"/>
      <w:r w:rsidRPr="001E192F">
        <w:rPr>
          <w:rFonts w:eastAsiaTheme="minorEastAsia"/>
          <w:b w:val="0"/>
          <w:iCs/>
          <w:color w:val="1A1A1A"/>
        </w:rPr>
        <w:t>Cakici</w:t>
      </w:r>
      <w:proofErr w:type="spellEnd"/>
      <w:r w:rsidRPr="001E192F">
        <w:rPr>
          <w:rFonts w:eastAsiaTheme="minorEastAsia"/>
          <w:b w:val="0"/>
          <w:iCs/>
          <w:color w:val="1A1A1A"/>
        </w:rPr>
        <w:t xml:space="preserve"> (2008) find that the negative relation is no longer significant. This is important because both methods of setting breakpoints are commonly used and it is not clear which method is preferable.</w:t>
      </w:r>
    </w:p>
    <w:p w14:paraId="7F74BE43" w14:textId="77777777" w:rsidR="00832A2F" w:rsidRPr="001E192F" w:rsidRDefault="00832A2F" w:rsidP="009A2C29">
      <w:pPr>
        <w:spacing w:after="0" w:line="360" w:lineRule="auto"/>
        <w:rPr>
          <w:szCs w:val="24"/>
        </w:rPr>
      </w:pPr>
    </w:p>
    <w:p w14:paraId="5E693060" w14:textId="755F561B" w:rsidR="001128A3" w:rsidRPr="00FB0037" w:rsidRDefault="00FB0037" w:rsidP="009A2C29">
      <w:pPr>
        <w:pStyle w:val="Subtitle"/>
        <w:spacing w:line="360" w:lineRule="auto"/>
        <w:ind w:firstLine="0"/>
        <w:rPr>
          <w:rFonts w:cs="Times New Roman"/>
          <w:b/>
          <w:i w:val="0"/>
          <w:szCs w:val="24"/>
        </w:rPr>
      </w:pPr>
      <w:proofErr w:type="gramStart"/>
      <w:r w:rsidRPr="00FB0037">
        <w:rPr>
          <w:rFonts w:cs="Times New Roman"/>
          <w:b/>
          <w:i w:val="0"/>
          <w:szCs w:val="24"/>
        </w:rPr>
        <w:t xml:space="preserve">3.3  </w:t>
      </w:r>
      <w:r w:rsidR="00DC217B" w:rsidRPr="00FB0037">
        <w:rPr>
          <w:rFonts w:cs="Times New Roman"/>
          <w:b/>
          <w:i w:val="0"/>
          <w:szCs w:val="24"/>
        </w:rPr>
        <w:t>The</w:t>
      </w:r>
      <w:proofErr w:type="gramEnd"/>
      <w:r w:rsidR="00DC217B" w:rsidRPr="00FB0037">
        <w:rPr>
          <w:rFonts w:cs="Times New Roman"/>
          <w:b/>
          <w:i w:val="0"/>
          <w:szCs w:val="24"/>
        </w:rPr>
        <w:t xml:space="preserve"> </w:t>
      </w:r>
      <w:proofErr w:type="spellStart"/>
      <w:r w:rsidR="00DC217B" w:rsidRPr="00FB0037">
        <w:rPr>
          <w:rFonts w:cs="Times New Roman"/>
          <w:b/>
          <w:i w:val="0"/>
          <w:szCs w:val="24"/>
        </w:rPr>
        <w:t>Cahart</w:t>
      </w:r>
      <w:proofErr w:type="spellEnd"/>
      <w:r w:rsidR="001128A3" w:rsidRPr="00FB0037">
        <w:rPr>
          <w:rFonts w:cs="Times New Roman"/>
          <w:b/>
          <w:i w:val="0"/>
          <w:szCs w:val="24"/>
        </w:rPr>
        <w:t xml:space="preserve"> Momentum Factor</w:t>
      </w:r>
    </w:p>
    <w:p w14:paraId="454A20A2" w14:textId="0580C39C" w:rsidR="00EC5536" w:rsidRPr="001E192F" w:rsidRDefault="000146E7" w:rsidP="009A2C29">
      <w:pPr>
        <w:spacing w:after="0" w:line="360" w:lineRule="auto"/>
        <w:rPr>
          <w:szCs w:val="24"/>
        </w:rPr>
      </w:pPr>
      <w:r w:rsidRPr="001E192F">
        <w:rPr>
          <w:szCs w:val="24"/>
        </w:rPr>
        <w:t>Arena</w:t>
      </w:r>
      <w:r w:rsidR="00832A2F" w:rsidRPr="001E192F">
        <w:rPr>
          <w:szCs w:val="24"/>
        </w:rPr>
        <w:t xml:space="preserve"> et al.</w:t>
      </w:r>
      <w:r w:rsidRPr="001E192F">
        <w:rPr>
          <w:szCs w:val="24"/>
        </w:rPr>
        <w:t xml:space="preserve"> (2008) show that idiosyncratic volatility is linked to returns from the momentum strategy of buying short-term (up to one year) winners and selling short-term losers</w:t>
      </w:r>
      <w:r w:rsidR="00993792" w:rsidRPr="001E192F">
        <w:rPr>
          <w:szCs w:val="24"/>
        </w:rPr>
        <w:t xml:space="preserve">.  </w:t>
      </w:r>
      <w:r w:rsidRPr="001E192F">
        <w:rPr>
          <w:szCs w:val="24"/>
        </w:rPr>
        <w:t>They argue that idiosyncratic volatility limits arbitrageurs from correcting these prices and find that momentum profits are highest among high idiosyncratic volatility portfolios</w:t>
      </w:r>
      <w:r w:rsidR="00993792" w:rsidRPr="001E192F">
        <w:rPr>
          <w:szCs w:val="24"/>
        </w:rPr>
        <w:t xml:space="preserve">.  </w:t>
      </w:r>
      <w:r w:rsidRPr="001E192F">
        <w:rPr>
          <w:szCs w:val="24"/>
        </w:rPr>
        <w:t>To incorporate this finding in our analysis of idiosyncratic volatility, i.e., to see if the negative relation is a product of the known momentu</w:t>
      </w:r>
      <w:r w:rsidR="00280533" w:rsidRPr="001E192F">
        <w:rPr>
          <w:szCs w:val="24"/>
        </w:rPr>
        <w:t>m anomaly, we augment the three-factor model</w:t>
      </w:r>
      <w:r w:rsidRPr="001E192F">
        <w:rPr>
          <w:szCs w:val="24"/>
        </w:rPr>
        <w:t xml:space="preserve"> with the </w:t>
      </w:r>
      <w:proofErr w:type="spellStart"/>
      <w:r w:rsidRPr="001E192F">
        <w:rPr>
          <w:szCs w:val="24"/>
        </w:rPr>
        <w:t>Carhart</w:t>
      </w:r>
      <w:proofErr w:type="spellEnd"/>
      <w:r w:rsidRPr="001E192F">
        <w:rPr>
          <w:szCs w:val="24"/>
        </w:rPr>
        <w:t xml:space="preserve"> (1997) momentum factor</w:t>
      </w:r>
      <w:r w:rsidR="00131E75" w:rsidRPr="001E192F">
        <w:rPr>
          <w:szCs w:val="24"/>
        </w:rPr>
        <w:t>.</w:t>
      </w:r>
    </w:p>
    <w:p w14:paraId="17130607" w14:textId="77777777" w:rsidR="00EC6108" w:rsidRPr="001E192F" w:rsidRDefault="00EC6108" w:rsidP="009A2C29">
      <w:pPr>
        <w:spacing w:after="0" w:line="360" w:lineRule="auto"/>
        <w:rPr>
          <w:szCs w:val="24"/>
        </w:rPr>
      </w:pPr>
    </w:p>
    <w:p w14:paraId="157B1AD9" w14:textId="65772FB6" w:rsidR="001128A3" w:rsidRPr="00FB0037" w:rsidRDefault="00FB0037" w:rsidP="009A2C29">
      <w:pPr>
        <w:pStyle w:val="Subtitle"/>
        <w:spacing w:line="360" w:lineRule="auto"/>
        <w:ind w:firstLine="0"/>
        <w:rPr>
          <w:rFonts w:cs="Times New Roman"/>
          <w:b/>
          <w:i w:val="0"/>
          <w:szCs w:val="24"/>
        </w:rPr>
      </w:pPr>
      <w:proofErr w:type="gramStart"/>
      <w:r w:rsidRPr="00FB0037">
        <w:rPr>
          <w:rFonts w:cs="Times New Roman"/>
          <w:b/>
          <w:i w:val="0"/>
          <w:szCs w:val="24"/>
        </w:rPr>
        <w:t xml:space="preserve">3.4  </w:t>
      </w:r>
      <w:r w:rsidR="00DC217B" w:rsidRPr="00FB0037">
        <w:rPr>
          <w:rFonts w:cs="Times New Roman"/>
          <w:b/>
          <w:i w:val="0"/>
          <w:szCs w:val="24"/>
        </w:rPr>
        <w:t>The</w:t>
      </w:r>
      <w:proofErr w:type="gramEnd"/>
      <w:r w:rsidR="00DC217B" w:rsidRPr="00FB0037">
        <w:rPr>
          <w:rFonts w:cs="Times New Roman"/>
          <w:b/>
          <w:i w:val="0"/>
          <w:szCs w:val="24"/>
        </w:rPr>
        <w:t xml:space="preserve"> Huang et al. </w:t>
      </w:r>
      <w:r w:rsidR="007A004C" w:rsidRPr="00FB0037">
        <w:rPr>
          <w:rFonts w:cs="Times New Roman"/>
          <w:b/>
          <w:i w:val="0"/>
          <w:szCs w:val="24"/>
        </w:rPr>
        <w:t>Reversal Factor</w:t>
      </w:r>
    </w:p>
    <w:p w14:paraId="7FFE835D" w14:textId="213FF57A" w:rsidR="000146E7" w:rsidRDefault="00DC217B" w:rsidP="009A2C29">
      <w:pPr>
        <w:spacing w:after="0" w:line="360" w:lineRule="auto"/>
        <w:rPr>
          <w:szCs w:val="24"/>
        </w:rPr>
      </w:pPr>
      <w:r w:rsidRPr="001E192F">
        <w:rPr>
          <w:szCs w:val="24"/>
        </w:rPr>
        <w:t>Huang, Liu, Rhee, and Zhang (2010)</w:t>
      </w:r>
      <w:r w:rsidR="000146E7" w:rsidRPr="001E192F">
        <w:rPr>
          <w:szCs w:val="24"/>
        </w:rPr>
        <w:t xml:space="preserve"> further the analysis of the negative relation between idiosyncratic volatility and </w:t>
      </w:r>
      <w:r w:rsidR="00131E75" w:rsidRPr="001E192F">
        <w:rPr>
          <w:szCs w:val="24"/>
        </w:rPr>
        <w:t xml:space="preserve">portfolio </w:t>
      </w:r>
      <w:r w:rsidR="000146E7" w:rsidRPr="001E192F">
        <w:rPr>
          <w:szCs w:val="24"/>
        </w:rPr>
        <w:t xml:space="preserve">returns </w:t>
      </w:r>
      <w:r w:rsidR="00131E75" w:rsidRPr="001E192F">
        <w:rPr>
          <w:szCs w:val="24"/>
        </w:rPr>
        <w:t>by incorporating the effect of</w:t>
      </w:r>
      <w:r w:rsidR="000146E7" w:rsidRPr="001E192F">
        <w:rPr>
          <w:szCs w:val="24"/>
        </w:rPr>
        <w:t xml:space="preserve"> serial correlation in returns</w:t>
      </w:r>
      <w:r w:rsidR="00993792" w:rsidRPr="001E192F">
        <w:rPr>
          <w:szCs w:val="24"/>
        </w:rPr>
        <w:t xml:space="preserve">.  </w:t>
      </w:r>
      <w:r w:rsidR="00337ADD" w:rsidRPr="001E192F">
        <w:rPr>
          <w:szCs w:val="24"/>
        </w:rPr>
        <w:t>These authors argue that by i</w:t>
      </w:r>
      <w:r w:rsidR="00131E75" w:rsidRPr="001E192F">
        <w:rPr>
          <w:szCs w:val="24"/>
        </w:rPr>
        <w:t xml:space="preserve">gnoring serial </w:t>
      </w:r>
      <w:r w:rsidR="00337ADD" w:rsidRPr="001E192F">
        <w:rPr>
          <w:szCs w:val="24"/>
        </w:rPr>
        <w:t>correlation</w:t>
      </w:r>
      <w:r w:rsidR="000146E7" w:rsidRPr="001E192F">
        <w:rPr>
          <w:szCs w:val="24"/>
        </w:rPr>
        <w:t xml:space="preserve"> and </w:t>
      </w:r>
      <w:r w:rsidR="007A004C" w:rsidRPr="001E192F">
        <w:rPr>
          <w:szCs w:val="24"/>
        </w:rPr>
        <w:t>using only value-</w:t>
      </w:r>
      <w:r w:rsidR="00337ADD" w:rsidRPr="001E192F">
        <w:rPr>
          <w:szCs w:val="24"/>
        </w:rPr>
        <w:t>weighted</w:t>
      </w:r>
      <w:r w:rsidR="000146E7" w:rsidRPr="001E192F">
        <w:rPr>
          <w:szCs w:val="24"/>
        </w:rPr>
        <w:t xml:space="preserve"> port</w:t>
      </w:r>
      <w:r w:rsidR="000434D8" w:rsidRPr="001E192F">
        <w:rPr>
          <w:szCs w:val="24"/>
        </w:rPr>
        <w:t xml:space="preserve">folios, </w:t>
      </w:r>
      <w:proofErr w:type="spellStart"/>
      <w:r w:rsidR="000434D8" w:rsidRPr="001E192F">
        <w:rPr>
          <w:szCs w:val="24"/>
        </w:rPr>
        <w:t>Ang</w:t>
      </w:r>
      <w:proofErr w:type="spellEnd"/>
      <w:r w:rsidR="000434D8" w:rsidRPr="001E192F">
        <w:rPr>
          <w:szCs w:val="24"/>
        </w:rPr>
        <w:t xml:space="preserve"> </w:t>
      </w:r>
      <w:r w:rsidR="002E005B" w:rsidRPr="001E192F">
        <w:rPr>
          <w:szCs w:val="24"/>
        </w:rPr>
        <w:t xml:space="preserve">et al. </w:t>
      </w:r>
      <w:r w:rsidR="000434D8" w:rsidRPr="001E192F">
        <w:rPr>
          <w:szCs w:val="24"/>
        </w:rPr>
        <w:t>(2006) may</w:t>
      </w:r>
      <w:r w:rsidR="000146E7" w:rsidRPr="001E192F">
        <w:rPr>
          <w:szCs w:val="24"/>
        </w:rPr>
        <w:t xml:space="preserve"> have induced downward bias in their estimation of the relation between returns and the previous month’s</w:t>
      </w:r>
      <w:r w:rsidR="00337ADD" w:rsidRPr="001E192F">
        <w:rPr>
          <w:szCs w:val="24"/>
        </w:rPr>
        <w:t xml:space="preserve"> idiosyncratic volatility</w:t>
      </w:r>
      <w:r w:rsidR="00993792" w:rsidRPr="001E192F">
        <w:rPr>
          <w:szCs w:val="24"/>
        </w:rPr>
        <w:t xml:space="preserve">.  </w:t>
      </w:r>
      <w:proofErr w:type="gramStart"/>
      <w:r w:rsidR="00337ADD" w:rsidRPr="001E192F">
        <w:rPr>
          <w:szCs w:val="24"/>
        </w:rPr>
        <w:t xml:space="preserve">Huang </w:t>
      </w:r>
      <w:r w:rsidR="002E005B" w:rsidRPr="001E192F">
        <w:rPr>
          <w:szCs w:val="24"/>
        </w:rPr>
        <w:t xml:space="preserve">et al. </w:t>
      </w:r>
      <w:r w:rsidR="00337ADD" w:rsidRPr="001E192F">
        <w:rPr>
          <w:szCs w:val="24"/>
        </w:rPr>
        <w:t>(</w:t>
      </w:r>
      <w:r w:rsidR="00832A2F" w:rsidRPr="001E192F">
        <w:rPr>
          <w:szCs w:val="24"/>
        </w:rPr>
        <w:t>2010</w:t>
      </w:r>
      <w:r w:rsidR="00337ADD" w:rsidRPr="001E192F">
        <w:rPr>
          <w:szCs w:val="24"/>
        </w:rPr>
        <w:t>)</w:t>
      </w:r>
      <w:r w:rsidR="007A004C" w:rsidRPr="001E192F">
        <w:rPr>
          <w:color w:val="F79646" w:themeColor="accent6"/>
          <w:szCs w:val="24"/>
        </w:rPr>
        <w:t xml:space="preserve"> </w:t>
      </w:r>
      <w:r w:rsidR="000146E7" w:rsidRPr="001E192F">
        <w:rPr>
          <w:szCs w:val="24"/>
        </w:rPr>
        <w:t>control for the effec</w:t>
      </w:r>
      <w:r w:rsidR="007A004C" w:rsidRPr="001E192F">
        <w:rPr>
          <w:szCs w:val="24"/>
        </w:rPr>
        <w:t>t of short-term return reversal</w:t>
      </w:r>
      <w:r w:rsidR="000146E7" w:rsidRPr="001E192F">
        <w:rPr>
          <w:szCs w:val="24"/>
        </w:rPr>
        <w:t xml:space="preserve"> by </w:t>
      </w:r>
      <w:r w:rsidR="00280533" w:rsidRPr="001E192F">
        <w:rPr>
          <w:szCs w:val="24"/>
        </w:rPr>
        <w:t xml:space="preserve">adding a reversal factor to </w:t>
      </w:r>
      <w:r w:rsidR="00131E75" w:rsidRPr="001E192F">
        <w:rPr>
          <w:szCs w:val="24"/>
        </w:rPr>
        <w:t>the three-factor model</w:t>
      </w:r>
      <w:r w:rsidR="00993792" w:rsidRPr="001E192F">
        <w:rPr>
          <w:szCs w:val="24"/>
        </w:rPr>
        <w:t>.</w:t>
      </w:r>
      <w:proofErr w:type="gramEnd"/>
      <w:r w:rsidR="00993792" w:rsidRPr="001E192F">
        <w:rPr>
          <w:szCs w:val="24"/>
        </w:rPr>
        <w:t xml:space="preserve">  </w:t>
      </w:r>
      <w:r w:rsidR="000146E7" w:rsidRPr="001E192F">
        <w:rPr>
          <w:szCs w:val="24"/>
        </w:rPr>
        <w:t>We follow Huang et al.</w:t>
      </w:r>
      <w:r w:rsidR="00280533" w:rsidRPr="001E192F">
        <w:rPr>
          <w:szCs w:val="24"/>
        </w:rPr>
        <w:t xml:space="preserve">’s (2010) lead by including </w:t>
      </w:r>
      <w:r w:rsidR="00337ADD" w:rsidRPr="001E192F">
        <w:rPr>
          <w:szCs w:val="24"/>
        </w:rPr>
        <w:t xml:space="preserve">their </w:t>
      </w:r>
      <w:r w:rsidR="000146E7" w:rsidRPr="001E192F">
        <w:rPr>
          <w:szCs w:val="24"/>
        </w:rPr>
        <w:t>reversal factor</w:t>
      </w:r>
      <w:r w:rsidR="007A004C" w:rsidRPr="001E192F">
        <w:rPr>
          <w:i/>
          <w:szCs w:val="24"/>
        </w:rPr>
        <w:t xml:space="preserve"> </w:t>
      </w:r>
      <w:r w:rsidR="000146E7" w:rsidRPr="001E192F">
        <w:rPr>
          <w:szCs w:val="24"/>
        </w:rPr>
        <w:t>in our estimation of the portfolio alphas</w:t>
      </w:r>
      <w:r w:rsidR="00993792" w:rsidRPr="001E192F">
        <w:rPr>
          <w:szCs w:val="24"/>
        </w:rPr>
        <w:t xml:space="preserve">.  </w:t>
      </w:r>
      <w:r w:rsidR="007A004C" w:rsidRPr="001E192F">
        <w:rPr>
          <w:szCs w:val="24"/>
        </w:rPr>
        <w:t xml:space="preserve">The </w:t>
      </w:r>
      <w:r w:rsidR="00337ADD" w:rsidRPr="001E192F">
        <w:rPr>
          <w:szCs w:val="24"/>
        </w:rPr>
        <w:t xml:space="preserve">Huang </w:t>
      </w:r>
      <w:r w:rsidR="002E005B" w:rsidRPr="001E192F">
        <w:rPr>
          <w:szCs w:val="24"/>
        </w:rPr>
        <w:t xml:space="preserve">et al. </w:t>
      </w:r>
      <w:r w:rsidR="007A004C" w:rsidRPr="001E192F">
        <w:rPr>
          <w:szCs w:val="24"/>
        </w:rPr>
        <w:t>reversal</w:t>
      </w:r>
      <w:r w:rsidR="000146E7" w:rsidRPr="001E192F">
        <w:rPr>
          <w:szCs w:val="24"/>
        </w:rPr>
        <w:t xml:space="preserve"> factor represents a valid </w:t>
      </w:r>
      <w:r w:rsidR="00337ADD" w:rsidRPr="001E192F">
        <w:rPr>
          <w:szCs w:val="24"/>
        </w:rPr>
        <w:t>choice for addition to an asset-</w:t>
      </w:r>
      <w:r w:rsidR="000146E7" w:rsidRPr="001E192F">
        <w:rPr>
          <w:szCs w:val="24"/>
        </w:rPr>
        <w:t>pricing test</w:t>
      </w:r>
      <w:r w:rsidR="007A004C" w:rsidRPr="001E192F">
        <w:rPr>
          <w:szCs w:val="24"/>
        </w:rPr>
        <w:t>,</w:t>
      </w:r>
      <w:r w:rsidR="000146E7" w:rsidRPr="001E192F">
        <w:rPr>
          <w:szCs w:val="24"/>
        </w:rPr>
        <w:t xml:space="preserve"> and thus may influence economic inference.</w:t>
      </w:r>
    </w:p>
    <w:p w14:paraId="286E428B" w14:textId="77777777" w:rsidR="00FB0037" w:rsidRDefault="00FB0037" w:rsidP="009A2C29">
      <w:pPr>
        <w:spacing w:after="0" w:line="360" w:lineRule="auto"/>
        <w:rPr>
          <w:szCs w:val="24"/>
        </w:rPr>
      </w:pPr>
    </w:p>
    <w:p w14:paraId="28FB97C7" w14:textId="77777777" w:rsidR="00FB0037" w:rsidRDefault="00FB0037" w:rsidP="009A2C29">
      <w:pPr>
        <w:spacing w:after="0" w:line="360" w:lineRule="auto"/>
        <w:rPr>
          <w:szCs w:val="24"/>
        </w:rPr>
      </w:pPr>
    </w:p>
    <w:p w14:paraId="56FA797E" w14:textId="77777777" w:rsidR="00FB0037" w:rsidRPr="001E192F" w:rsidRDefault="00FB0037" w:rsidP="009A2C29">
      <w:pPr>
        <w:spacing w:after="0" w:line="360" w:lineRule="auto"/>
        <w:rPr>
          <w:szCs w:val="24"/>
        </w:rPr>
      </w:pPr>
    </w:p>
    <w:p w14:paraId="594031F3" w14:textId="77777777" w:rsidR="00832A2F" w:rsidRPr="001E192F" w:rsidRDefault="00832A2F" w:rsidP="009A2C29">
      <w:pPr>
        <w:spacing w:after="0" w:line="360" w:lineRule="auto"/>
        <w:rPr>
          <w:szCs w:val="24"/>
        </w:rPr>
      </w:pPr>
    </w:p>
    <w:p w14:paraId="0356146C" w14:textId="6213CC8F" w:rsidR="008D44CE" w:rsidRPr="00FB0037" w:rsidRDefault="00FB0037" w:rsidP="009A2C29">
      <w:pPr>
        <w:pStyle w:val="Subtitle"/>
        <w:spacing w:line="360" w:lineRule="auto"/>
        <w:ind w:firstLine="0"/>
        <w:rPr>
          <w:rFonts w:cs="Times New Roman"/>
          <w:b/>
          <w:i w:val="0"/>
          <w:szCs w:val="24"/>
        </w:rPr>
      </w:pPr>
      <w:proofErr w:type="gramStart"/>
      <w:r w:rsidRPr="00FB0037">
        <w:rPr>
          <w:rFonts w:cs="Times New Roman"/>
          <w:b/>
          <w:i w:val="0"/>
          <w:szCs w:val="24"/>
        </w:rPr>
        <w:t xml:space="preserve">3.5  </w:t>
      </w:r>
      <w:proofErr w:type="spellStart"/>
      <w:r w:rsidR="008C4D75" w:rsidRPr="00FB0037">
        <w:rPr>
          <w:rFonts w:cs="Times New Roman"/>
          <w:b/>
          <w:i w:val="0"/>
          <w:szCs w:val="24"/>
        </w:rPr>
        <w:t>Fama</w:t>
      </w:r>
      <w:proofErr w:type="spellEnd"/>
      <w:proofErr w:type="gramEnd"/>
      <w:r w:rsidR="008C4D75" w:rsidRPr="00FB0037">
        <w:rPr>
          <w:rFonts w:cs="Times New Roman"/>
          <w:b/>
          <w:i w:val="0"/>
          <w:szCs w:val="24"/>
        </w:rPr>
        <w:t xml:space="preserve"> and </w:t>
      </w:r>
      <w:r w:rsidR="000434D8" w:rsidRPr="00FB0037">
        <w:rPr>
          <w:rFonts w:cs="Times New Roman"/>
          <w:b/>
          <w:i w:val="0"/>
          <w:szCs w:val="24"/>
        </w:rPr>
        <w:t>French</w:t>
      </w:r>
      <w:r w:rsidR="008C4D75" w:rsidRPr="00FB0037">
        <w:rPr>
          <w:rFonts w:cs="Times New Roman"/>
          <w:b/>
          <w:i w:val="0"/>
          <w:szCs w:val="24"/>
        </w:rPr>
        <w:t>’s</w:t>
      </w:r>
      <w:r w:rsidR="008D44CE" w:rsidRPr="00FB0037">
        <w:rPr>
          <w:rFonts w:cs="Times New Roman"/>
          <w:b/>
          <w:i w:val="0"/>
          <w:szCs w:val="24"/>
        </w:rPr>
        <w:t xml:space="preserve"> Five-Factor Model</w:t>
      </w:r>
    </w:p>
    <w:p w14:paraId="185A2FC7" w14:textId="786D7CA8" w:rsidR="008D44CE" w:rsidRPr="001E192F" w:rsidRDefault="008D44CE" w:rsidP="009A2C29">
      <w:pPr>
        <w:spacing w:after="0" w:line="360" w:lineRule="auto"/>
        <w:rPr>
          <w:szCs w:val="24"/>
        </w:rPr>
      </w:pPr>
      <w:r w:rsidRPr="001E192F">
        <w:rPr>
          <w:szCs w:val="24"/>
        </w:rPr>
        <w:t xml:space="preserve">Lehmann (1990) argues that the variance of the residuals from a </w:t>
      </w:r>
      <w:proofErr w:type="spellStart"/>
      <w:r w:rsidRPr="001E192F">
        <w:rPr>
          <w:szCs w:val="24"/>
        </w:rPr>
        <w:t>mis</w:t>
      </w:r>
      <w:proofErr w:type="spellEnd"/>
      <w:r w:rsidR="00280533" w:rsidRPr="001E192F">
        <w:rPr>
          <w:szCs w:val="24"/>
        </w:rPr>
        <w:t>-</w:t>
      </w:r>
      <w:r w:rsidRPr="001E192F">
        <w:rPr>
          <w:szCs w:val="24"/>
        </w:rPr>
        <w:t>specified factor model should be related to avera</w:t>
      </w:r>
      <w:r w:rsidR="004435E3" w:rsidRPr="001E192F">
        <w:rPr>
          <w:szCs w:val="24"/>
        </w:rPr>
        <w:t>ge returns</w:t>
      </w:r>
      <w:r w:rsidR="00993792" w:rsidRPr="001E192F">
        <w:rPr>
          <w:szCs w:val="24"/>
        </w:rPr>
        <w:t xml:space="preserve">.  </w:t>
      </w:r>
      <w:r w:rsidR="004435E3" w:rsidRPr="001E192F">
        <w:rPr>
          <w:szCs w:val="24"/>
        </w:rPr>
        <w:t xml:space="preserve">Given that the </w:t>
      </w:r>
      <w:proofErr w:type="spellStart"/>
      <w:r w:rsidR="004435E3" w:rsidRPr="001E192F">
        <w:rPr>
          <w:szCs w:val="24"/>
        </w:rPr>
        <w:t>Fama</w:t>
      </w:r>
      <w:proofErr w:type="spellEnd"/>
      <w:r w:rsidR="004435E3" w:rsidRPr="001E192F">
        <w:rPr>
          <w:szCs w:val="24"/>
        </w:rPr>
        <w:t xml:space="preserve"> and </w:t>
      </w:r>
      <w:r w:rsidRPr="001E192F">
        <w:rPr>
          <w:szCs w:val="24"/>
        </w:rPr>
        <w:t>French (1993) three</w:t>
      </w:r>
      <w:r w:rsidR="0057116A" w:rsidRPr="001E192F">
        <w:rPr>
          <w:szCs w:val="24"/>
        </w:rPr>
        <w:t>-factor model</w:t>
      </w:r>
      <w:r w:rsidR="00EC7714" w:rsidRPr="001E192F">
        <w:rPr>
          <w:szCs w:val="24"/>
        </w:rPr>
        <w:t xml:space="preserve"> has</w:t>
      </w:r>
      <w:r w:rsidRPr="001E192F">
        <w:rPr>
          <w:szCs w:val="24"/>
        </w:rPr>
        <w:t xml:space="preserve"> been unable to explain certain </w:t>
      </w:r>
      <w:r w:rsidR="00832A2F" w:rsidRPr="001E192F">
        <w:rPr>
          <w:szCs w:val="24"/>
        </w:rPr>
        <w:t xml:space="preserve">phenomena </w:t>
      </w:r>
      <w:r w:rsidR="000434D8" w:rsidRPr="001E192F">
        <w:rPr>
          <w:szCs w:val="24"/>
        </w:rPr>
        <w:t>(</w:t>
      </w:r>
      <w:proofErr w:type="spellStart"/>
      <w:r w:rsidR="000434D8" w:rsidRPr="001E192F">
        <w:rPr>
          <w:szCs w:val="24"/>
        </w:rPr>
        <w:t>e.g</w:t>
      </w:r>
      <w:proofErr w:type="spellEnd"/>
      <w:r w:rsidR="000434D8" w:rsidRPr="001E192F">
        <w:rPr>
          <w:szCs w:val="24"/>
        </w:rPr>
        <w:t xml:space="preserve">, momentum), it may be a </w:t>
      </w:r>
      <w:proofErr w:type="spellStart"/>
      <w:r w:rsidR="000434D8" w:rsidRPr="001E192F">
        <w:rPr>
          <w:szCs w:val="24"/>
        </w:rPr>
        <w:t>mis</w:t>
      </w:r>
      <w:proofErr w:type="spellEnd"/>
      <w:r w:rsidR="00280533" w:rsidRPr="001E192F">
        <w:rPr>
          <w:szCs w:val="24"/>
        </w:rPr>
        <w:t>-</w:t>
      </w:r>
      <w:r w:rsidRPr="001E192F">
        <w:rPr>
          <w:szCs w:val="24"/>
        </w:rPr>
        <w:t>specified factor model</w:t>
      </w:r>
      <w:r w:rsidR="00993792" w:rsidRPr="001E192F">
        <w:rPr>
          <w:szCs w:val="24"/>
        </w:rPr>
        <w:t xml:space="preserve">.  </w:t>
      </w:r>
      <w:r w:rsidRPr="001E192F">
        <w:rPr>
          <w:szCs w:val="24"/>
        </w:rPr>
        <w:t>T</w:t>
      </w:r>
      <w:r w:rsidR="000434D8" w:rsidRPr="001E192F">
        <w:rPr>
          <w:szCs w:val="24"/>
        </w:rPr>
        <w:t>o address this</w:t>
      </w:r>
      <w:r w:rsidR="00D4628F" w:rsidRPr="001E192F">
        <w:rPr>
          <w:szCs w:val="24"/>
        </w:rPr>
        <w:t xml:space="preserve"> possibility</w:t>
      </w:r>
      <w:r w:rsidR="000434D8" w:rsidRPr="001E192F">
        <w:rPr>
          <w:szCs w:val="24"/>
        </w:rPr>
        <w:t xml:space="preserve"> we estimate </w:t>
      </w:r>
      <w:r w:rsidR="004435E3" w:rsidRPr="001E192F">
        <w:rPr>
          <w:szCs w:val="24"/>
        </w:rPr>
        <w:t xml:space="preserve">portfolio alphas using the </w:t>
      </w:r>
      <w:proofErr w:type="spellStart"/>
      <w:r w:rsidR="004435E3" w:rsidRPr="001E192F">
        <w:rPr>
          <w:szCs w:val="24"/>
        </w:rPr>
        <w:t>Fama</w:t>
      </w:r>
      <w:proofErr w:type="spellEnd"/>
      <w:r w:rsidR="004435E3" w:rsidRPr="001E192F">
        <w:rPr>
          <w:szCs w:val="24"/>
        </w:rPr>
        <w:t xml:space="preserve"> and </w:t>
      </w:r>
      <w:r w:rsidRPr="001E192F">
        <w:rPr>
          <w:szCs w:val="24"/>
        </w:rPr>
        <w:t>French (2015) five-factor model</w:t>
      </w:r>
      <w:r w:rsidR="00993792" w:rsidRPr="001E192F">
        <w:rPr>
          <w:szCs w:val="24"/>
        </w:rPr>
        <w:t xml:space="preserve">.  </w:t>
      </w:r>
      <w:r w:rsidRPr="001E192F">
        <w:rPr>
          <w:szCs w:val="24"/>
        </w:rPr>
        <w:t>This is the three-factor model augmented with two new factors: an investment factor and an earnings factor</w:t>
      </w:r>
      <w:r w:rsidR="00993792" w:rsidRPr="001E192F">
        <w:rPr>
          <w:szCs w:val="24"/>
        </w:rPr>
        <w:t xml:space="preserve">.  </w:t>
      </w:r>
    </w:p>
    <w:p w14:paraId="3FD7F65F" w14:textId="0A8054CC" w:rsidR="008D44CE" w:rsidRPr="001E192F" w:rsidRDefault="008C4D75" w:rsidP="009A2C29">
      <w:pPr>
        <w:spacing w:after="0" w:line="360" w:lineRule="auto"/>
        <w:rPr>
          <w:szCs w:val="24"/>
        </w:rPr>
      </w:pPr>
      <w:proofErr w:type="gramStart"/>
      <w:r w:rsidRPr="001E192F">
        <w:rPr>
          <w:szCs w:val="24"/>
        </w:rPr>
        <w:t>The investment factor is represented by a portfolio</w:t>
      </w:r>
      <w:r w:rsidR="008D44CE" w:rsidRPr="001E192F">
        <w:rPr>
          <w:szCs w:val="24"/>
        </w:rPr>
        <w:t xml:space="preserve"> that is short stocks with the lowest total asset</w:t>
      </w:r>
      <w:r w:rsidRPr="001E192F">
        <w:rPr>
          <w:szCs w:val="24"/>
        </w:rPr>
        <w:t xml:space="preserve"> growth </w:t>
      </w:r>
      <w:r w:rsidR="008D44CE" w:rsidRPr="001E192F">
        <w:rPr>
          <w:szCs w:val="24"/>
        </w:rPr>
        <w:t>over the previous year</w:t>
      </w:r>
      <w:r w:rsidRPr="001E192F">
        <w:rPr>
          <w:szCs w:val="24"/>
        </w:rPr>
        <w:t xml:space="preserve">, and long </w:t>
      </w:r>
      <w:r w:rsidR="008D44CE" w:rsidRPr="001E192F">
        <w:rPr>
          <w:szCs w:val="24"/>
        </w:rPr>
        <w:t>stocks with the high</w:t>
      </w:r>
      <w:r w:rsidRPr="001E192F">
        <w:rPr>
          <w:szCs w:val="24"/>
        </w:rPr>
        <w:t>est</w:t>
      </w:r>
      <w:r w:rsidR="008D44CE" w:rsidRPr="001E192F">
        <w:rPr>
          <w:szCs w:val="24"/>
        </w:rPr>
        <w:t xml:space="preserve"> total asset growth</w:t>
      </w:r>
      <w:proofErr w:type="gramEnd"/>
      <w:r w:rsidR="00993792" w:rsidRPr="001E192F">
        <w:rPr>
          <w:szCs w:val="24"/>
        </w:rPr>
        <w:t xml:space="preserve">.  </w:t>
      </w:r>
      <w:proofErr w:type="gramStart"/>
      <w:r w:rsidR="008D44CE" w:rsidRPr="001E192F">
        <w:rPr>
          <w:szCs w:val="24"/>
        </w:rPr>
        <w:t xml:space="preserve">The earnings factor is </w:t>
      </w:r>
      <w:r w:rsidRPr="001E192F">
        <w:rPr>
          <w:szCs w:val="24"/>
        </w:rPr>
        <w:t xml:space="preserve">represented by </w:t>
      </w:r>
      <w:r w:rsidR="00EC7714" w:rsidRPr="001E192F">
        <w:rPr>
          <w:szCs w:val="24"/>
        </w:rPr>
        <w:t>a portfolio</w:t>
      </w:r>
      <w:r w:rsidR="008D44CE" w:rsidRPr="001E192F">
        <w:rPr>
          <w:szCs w:val="24"/>
        </w:rPr>
        <w:t xml:space="preserve"> that is short stocks wi</w:t>
      </w:r>
      <w:r w:rsidRPr="001E192F">
        <w:rPr>
          <w:szCs w:val="24"/>
        </w:rPr>
        <w:t>th the lowest operating profits,</w:t>
      </w:r>
      <w:r w:rsidR="00EC7714" w:rsidRPr="001E192F">
        <w:rPr>
          <w:szCs w:val="24"/>
        </w:rPr>
        <w:t xml:space="preserve"> and long</w:t>
      </w:r>
      <w:r w:rsidR="008D44CE" w:rsidRPr="001E192F">
        <w:rPr>
          <w:szCs w:val="24"/>
        </w:rPr>
        <w:t xml:space="preserve"> stocks with the high</w:t>
      </w:r>
      <w:r w:rsidR="004435E3" w:rsidRPr="001E192F">
        <w:rPr>
          <w:szCs w:val="24"/>
        </w:rPr>
        <w:t>est</w:t>
      </w:r>
      <w:r w:rsidR="008D44CE" w:rsidRPr="001E192F">
        <w:rPr>
          <w:szCs w:val="24"/>
        </w:rPr>
        <w:t xml:space="preserve"> operating profits</w:t>
      </w:r>
      <w:proofErr w:type="gramEnd"/>
      <w:r w:rsidR="00993792" w:rsidRPr="001E192F">
        <w:rPr>
          <w:szCs w:val="24"/>
        </w:rPr>
        <w:t xml:space="preserve">.  </w:t>
      </w:r>
      <w:r w:rsidR="008D44CE" w:rsidRPr="001E192F">
        <w:rPr>
          <w:szCs w:val="24"/>
        </w:rPr>
        <w:t xml:space="preserve">These </w:t>
      </w:r>
      <w:r w:rsidRPr="001E192F">
        <w:rPr>
          <w:szCs w:val="24"/>
        </w:rPr>
        <w:t xml:space="preserve">two </w:t>
      </w:r>
      <w:r w:rsidR="008D44CE" w:rsidRPr="001E192F">
        <w:rPr>
          <w:szCs w:val="24"/>
        </w:rPr>
        <w:t>factors are des</w:t>
      </w:r>
      <w:r w:rsidR="004435E3" w:rsidRPr="001E192F">
        <w:rPr>
          <w:szCs w:val="24"/>
        </w:rPr>
        <w:t>igned to capture two anomalies</w:t>
      </w:r>
      <w:r w:rsidR="00832A2F" w:rsidRPr="001E192F">
        <w:rPr>
          <w:szCs w:val="24"/>
        </w:rPr>
        <w:t xml:space="preserve"> – </w:t>
      </w:r>
      <w:r w:rsidR="004435E3" w:rsidRPr="001E192F">
        <w:rPr>
          <w:szCs w:val="24"/>
        </w:rPr>
        <w:t>asset growth and profitability</w:t>
      </w:r>
      <w:r w:rsidR="00832A2F" w:rsidRPr="001E192F">
        <w:rPr>
          <w:szCs w:val="24"/>
        </w:rPr>
        <w:t xml:space="preserve"> – </w:t>
      </w:r>
      <w:r w:rsidR="008D44CE" w:rsidRPr="001E192F">
        <w:rPr>
          <w:szCs w:val="24"/>
        </w:rPr>
        <w:t>and may lead to a more correctly specified factor model.</w:t>
      </w:r>
    </w:p>
    <w:p w14:paraId="7C031E19" w14:textId="77777777" w:rsidR="00832A2F" w:rsidRPr="001E192F" w:rsidRDefault="00832A2F" w:rsidP="009A2C29">
      <w:pPr>
        <w:spacing w:after="0" w:line="360" w:lineRule="auto"/>
        <w:rPr>
          <w:szCs w:val="24"/>
        </w:rPr>
      </w:pPr>
    </w:p>
    <w:p w14:paraId="4F60B863" w14:textId="2C9B7878" w:rsidR="007A004C" w:rsidRPr="00FB0037" w:rsidRDefault="00FB0037" w:rsidP="009A2C29">
      <w:pPr>
        <w:pStyle w:val="Subtitle"/>
        <w:spacing w:line="360" w:lineRule="auto"/>
        <w:ind w:firstLine="0"/>
        <w:rPr>
          <w:rFonts w:cs="Times New Roman"/>
          <w:b/>
          <w:i w:val="0"/>
          <w:szCs w:val="24"/>
        </w:rPr>
      </w:pPr>
      <w:proofErr w:type="gramStart"/>
      <w:r w:rsidRPr="00FB0037">
        <w:rPr>
          <w:rFonts w:cs="Times New Roman"/>
          <w:b/>
          <w:i w:val="0"/>
          <w:szCs w:val="24"/>
        </w:rPr>
        <w:t xml:space="preserve">3.6  </w:t>
      </w:r>
      <w:r w:rsidR="00DC217B" w:rsidRPr="00FB0037">
        <w:rPr>
          <w:rFonts w:cs="Times New Roman"/>
          <w:b/>
          <w:i w:val="0"/>
          <w:szCs w:val="24"/>
        </w:rPr>
        <w:t>The</w:t>
      </w:r>
      <w:proofErr w:type="gramEnd"/>
      <w:r w:rsidR="00DC217B" w:rsidRPr="00FB0037">
        <w:rPr>
          <w:rFonts w:cs="Times New Roman"/>
          <w:b/>
          <w:i w:val="0"/>
          <w:szCs w:val="24"/>
        </w:rPr>
        <w:t xml:space="preserve"> </w:t>
      </w:r>
      <w:r w:rsidR="004D2757" w:rsidRPr="00FB0037">
        <w:rPr>
          <w:rFonts w:cs="Times New Roman"/>
          <w:b/>
          <w:i w:val="0"/>
          <w:szCs w:val="24"/>
        </w:rPr>
        <w:t>Turn-of-Year Factor</w:t>
      </w:r>
    </w:p>
    <w:p w14:paraId="31992DFB" w14:textId="0901775D" w:rsidR="00832A2F" w:rsidRPr="001E192F" w:rsidRDefault="000146E7" w:rsidP="009A2C29">
      <w:pPr>
        <w:spacing w:after="0" w:line="360" w:lineRule="auto"/>
        <w:rPr>
          <w:szCs w:val="24"/>
        </w:rPr>
      </w:pPr>
      <w:r w:rsidRPr="001E192F">
        <w:rPr>
          <w:szCs w:val="24"/>
        </w:rPr>
        <w:t xml:space="preserve">Peterson and </w:t>
      </w:r>
      <w:proofErr w:type="spellStart"/>
      <w:r w:rsidRPr="001E192F">
        <w:rPr>
          <w:szCs w:val="24"/>
        </w:rPr>
        <w:t>Smedema</w:t>
      </w:r>
      <w:proofErr w:type="spellEnd"/>
      <w:r w:rsidRPr="001E192F">
        <w:rPr>
          <w:szCs w:val="24"/>
        </w:rPr>
        <w:t xml:space="preserve"> (2011) find that there is a significant turn-of-year effect in the relation between expected returns and the </w:t>
      </w:r>
      <w:proofErr w:type="spellStart"/>
      <w:r w:rsidRPr="001E192F">
        <w:rPr>
          <w:szCs w:val="24"/>
        </w:rPr>
        <w:t>Ang</w:t>
      </w:r>
      <w:proofErr w:type="spellEnd"/>
      <w:r w:rsidRPr="001E192F">
        <w:rPr>
          <w:szCs w:val="24"/>
        </w:rPr>
        <w:t xml:space="preserve"> </w:t>
      </w:r>
      <w:r w:rsidR="002E005B" w:rsidRPr="001E192F">
        <w:rPr>
          <w:szCs w:val="24"/>
        </w:rPr>
        <w:t xml:space="preserve">et al. </w:t>
      </w:r>
      <w:r w:rsidRPr="001E192F">
        <w:rPr>
          <w:szCs w:val="24"/>
        </w:rPr>
        <w:t>(2006) measure of idiosyncratic vo</w:t>
      </w:r>
      <w:r w:rsidR="008C4D75" w:rsidRPr="001E192F">
        <w:rPr>
          <w:szCs w:val="24"/>
        </w:rPr>
        <w:t>latility</w:t>
      </w:r>
      <w:r w:rsidR="00993792" w:rsidRPr="001E192F">
        <w:rPr>
          <w:szCs w:val="24"/>
        </w:rPr>
        <w:t xml:space="preserve">.  </w:t>
      </w:r>
      <w:r w:rsidR="008C4D75" w:rsidRPr="001E192F">
        <w:rPr>
          <w:szCs w:val="24"/>
        </w:rPr>
        <w:t xml:space="preserve">By augmenting the </w:t>
      </w:r>
      <w:proofErr w:type="spellStart"/>
      <w:r w:rsidR="008C4D75" w:rsidRPr="001E192F">
        <w:rPr>
          <w:szCs w:val="24"/>
        </w:rPr>
        <w:t>Fama</w:t>
      </w:r>
      <w:proofErr w:type="spellEnd"/>
      <w:r w:rsidR="008C4D75" w:rsidRPr="001E192F">
        <w:rPr>
          <w:szCs w:val="24"/>
        </w:rPr>
        <w:t xml:space="preserve"> and French (1993) three</w:t>
      </w:r>
      <w:r w:rsidRPr="001E192F">
        <w:rPr>
          <w:szCs w:val="24"/>
        </w:rPr>
        <w:t xml:space="preserve">-factor model </w:t>
      </w:r>
      <w:r w:rsidR="004D2757" w:rsidRPr="001E192F">
        <w:rPr>
          <w:szCs w:val="24"/>
        </w:rPr>
        <w:t xml:space="preserve">with the </w:t>
      </w:r>
      <w:proofErr w:type="spellStart"/>
      <w:r w:rsidR="004D2757" w:rsidRPr="001E192F">
        <w:rPr>
          <w:szCs w:val="24"/>
        </w:rPr>
        <w:t>Carhart</w:t>
      </w:r>
      <w:proofErr w:type="spellEnd"/>
      <w:r w:rsidR="004D2757" w:rsidRPr="001E192F">
        <w:rPr>
          <w:szCs w:val="24"/>
        </w:rPr>
        <w:t xml:space="preserve"> (1997) momentum factor and a January indicator, the fragile</w:t>
      </w:r>
      <w:r w:rsidRPr="001E192F">
        <w:rPr>
          <w:szCs w:val="24"/>
        </w:rPr>
        <w:t xml:space="preserve"> </w:t>
      </w:r>
      <w:r w:rsidR="004D2757" w:rsidRPr="001E192F">
        <w:rPr>
          <w:szCs w:val="24"/>
        </w:rPr>
        <w:t>results previously found by</w:t>
      </w:r>
      <w:r w:rsidRPr="001E192F">
        <w:rPr>
          <w:szCs w:val="24"/>
        </w:rPr>
        <w:t xml:space="preserve"> Bali and </w:t>
      </w:r>
      <w:proofErr w:type="spellStart"/>
      <w:r w:rsidRPr="001E192F">
        <w:rPr>
          <w:szCs w:val="24"/>
        </w:rPr>
        <w:t>Cakici</w:t>
      </w:r>
      <w:proofErr w:type="spellEnd"/>
      <w:r w:rsidRPr="001E192F">
        <w:rPr>
          <w:szCs w:val="24"/>
        </w:rPr>
        <w:t xml:space="preserve"> (2008) an</w:t>
      </w:r>
      <w:r w:rsidR="004D2757" w:rsidRPr="001E192F">
        <w:rPr>
          <w:szCs w:val="24"/>
        </w:rPr>
        <w:t xml:space="preserve">d Huang </w:t>
      </w:r>
      <w:r w:rsidR="002E005B" w:rsidRPr="001E192F">
        <w:rPr>
          <w:szCs w:val="24"/>
        </w:rPr>
        <w:t xml:space="preserve">et al. </w:t>
      </w:r>
      <w:r w:rsidR="004D2757" w:rsidRPr="001E192F">
        <w:rPr>
          <w:szCs w:val="24"/>
        </w:rPr>
        <w:t>(2010) become more significant and robust</w:t>
      </w:r>
      <w:r w:rsidR="00993792" w:rsidRPr="001E192F">
        <w:rPr>
          <w:szCs w:val="24"/>
        </w:rPr>
        <w:t xml:space="preserve">.  </w:t>
      </w:r>
      <w:r w:rsidRPr="001E192F">
        <w:rPr>
          <w:szCs w:val="24"/>
        </w:rPr>
        <w:t xml:space="preserve">Therefore, because the January </w:t>
      </w:r>
      <w:r w:rsidR="007A004C" w:rsidRPr="001E192F">
        <w:rPr>
          <w:szCs w:val="24"/>
        </w:rPr>
        <w:t>indicator represents a valid</w:t>
      </w:r>
      <w:r w:rsidRPr="001E192F">
        <w:rPr>
          <w:szCs w:val="24"/>
        </w:rPr>
        <w:t xml:space="preserve"> methodological choice for risk-adjusting returns, we include the indicator in our estimation of the portfolio alphas</w:t>
      </w:r>
      <w:r w:rsidR="00993792" w:rsidRPr="001E192F">
        <w:rPr>
          <w:szCs w:val="24"/>
        </w:rPr>
        <w:t xml:space="preserve">. </w:t>
      </w:r>
    </w:p>
    <w:p w14:paraId="6797AA0E" w14:textId="5C85BF89" w:rsidR="00D4628F" w:rsidRPr="001E192F" w:rsidRDefault="00993792" w:rsidP="009A2C29">
      <w:pPr>
        <w:spacing w:after="0" w:line="360" w:lineRule="auto"/>
        <w:rPr>
          <w:szCs w:val="24"/>
        </w:rPr>
      </w:pPr>
      <w:r w:rsidRPr="001E192F">
        <w:rPr>
          <w:szCs w:val="24"/>
        </w:rPr>
        <w:t xml:space="preserve"> </w:t>
      </w:r>
    </w:p>
    <w:p w14:paraId="7E402BBD" w14:textId="63696A5C" w:rsidR="004823C7" w:rsidRPr="00FB0037" w:rsidRDefault="00FB0037" w:rsidP="009A2C29">
      <w:pPr>
        <w:pStyle w:val="Subtitle"/>
        <w:spacing w:line="360" w:lineRule="auto"/>
        <w:ind w:firstLine="0"/>
        <w:rPr>
          <w:rFonts w:cs="Times New Roman"/>
          <w:b/>
          <w:i w:val="0"/>
          <w:szCs w:val="24"/>
        </w:rPr>
      </w:pPr>
      <w:proofErr w:type="gramStart"/>
      <w:r w:rsidRPr="00FB0037">
        <w:rPr>
          <w:rFonts w:cs="Times New Roman"/>
          <w:b/>
          <w:i w:val="0"/>
          <w:szCs w:val="24"/>
        </w:rPr>
        <w:t xml:space="preserve">3.7  </w:t>
      </w:r>
      <w:r w:rsidR="003B0951" w:rsidRPr="00FB0037">
        <w:rPr>
          <w:rFonts w:cs="Times New Roman"/>
          <w:b/>
          <w:i w:val="0"/>
          <w:szCs w:val="24"/>
        </w:rPr>
        <w:t>Low</w:t>
      </w:r>
      <w:proofErr w:type="gramEnd"/>
      <w:r w:rsidR="003B0951" w:rsidRPr="00FB0037">
        <w:rPr>
          <w:rFonts w:cs="Times New Roman"/>
          <w:b/>
          <w:i w:val="0"/>
          <w:szCs w:val="24"/>
        </w:rPr>
        <w:t>-Priced Stocks</w:t>
      </w:r>
    </w:p>
    <w:p w14:paraId="610C8D8E" w14:textId="59F16B40" w:rsidR="00D12CDA" w:rsidRPr="001E192F" w:rsidRDefault="000146E7" w:rsidP="009A2C29">
      <w:pPr>
        <w:spacing w:after="0" w:line="360" w:lineRule="auto"/>
        <w:rPr>
          <w:szCs w:val="24"/>
        </w:rPr>
      </w:pPr>
      <w:r w:rsidRPr="001E192F">
        <w:rPr>
          <w:szCs w:val="24"/>
        </w:rPr>
        <w:t xml:space="preserve">Bali and </w:t>
      </w:r>
      <w:proofErr w:type="spellStart"/>
      <w:r w:rsidRPr="001E192F">
        <w:rPr>
          <w:szCs w:val="24"/>
        </w:rPr>
        <w:t>Cakici</w:t>
      </w:r>
      <w:proofErr w:type="spellEnd"/>
      <w:r w:rsidRPr="001E192F">
        <w:rPr>
          <w:szCs w:val="24"/>
        </w:rPr>
        <w:t xml:space="preserve"> (2008) find that eliminating stocks with prices </w:t>
      </w:r>
      <w:r w:rsidR="004435E3" w:rsidRPr="001E192F">
        <w:rPr>
          <w:szCs w:val="24"/>
        </w:rPr>
        <w:t xml:space="preserve">of </w:t>
      </w:r>
      <w:r w:rsidRPr="001E192F">
        <w:rPr>
          <w:szCs w:val="24"/>
        </w:rPr>
        <w:t xml:space="preserve">less than $10 reduces the magnitude of the alpha of the </w:t>
      </w:r>
      <w:r w:rsidR="004D2757" w:rsidRPr="001E192F">
        <w:rPr>
          <w:szCs w:val="24"/>
        </w:rPr>
        <w:t xml:space="preserve">idiosyncratic volatility </w:t>
      </w:r>
      <w:r w:rsidR="004435E3" w:rsidRPr="001E192F">
        <w:rPr>
          <w:szCs w:val="24"/>
        </w:rPr>
        <w:t>designated</w:t>
      </w:r>
      <w:r w:rsidR="004D2757" w:rsidRPr="001E192F">
        <w:rPr>
          <w:szCs w:val="24"/>
        </w:rPr>
        <w:t xml:space="preserve"> </w:t>
      </w:r>
      <w:r w:rsidRPr="001E192F">
        <w:rPr>
          <w:szCs w:val="24"/>
        </w:rPr>
        <w:t>zero</w:t>
      </w:r>
      <w:r w:rsidR="004D2757" w:rsidRPr="001E192F">
        <w:rPr>
          <w:szCs w:val="24"/>
        </w:rPr>
        <w:t>-investment portfolios</w:t>
      </w:r>
      <w:r w:rsidR="00993792" w:rsidRPr="001E192F">
        <w:rPr>
          <w:szCs w:val="24"/>
        </w:rPr>
        <w:t xml:space="preserve">.  </w:t>
      </w:r>
      <w:r w:rsidRPr="001E192F">
        <w:rPr>
          <w:szCs w:val="24"/>
        </w:rPr>
        <w:t>To the contrary, Chen</w:t>
      </w:r>
      <w:r w:rsidR="00832A2F" w:rsidRPr="001E192F">
        <w:rPr>
          <w:szCs w:val="24"/>
        </w:rPr>
        <w:t xml:space="preserve"> et al.</w:t>
      </w:r>
      <w:r w:rsidRPr="001E192F">
        <w:rPr>
          <w:szCs w:val="24"/>
        </w:rPr>
        <w:t xml:space="preserve"> (2012) find that the elimination of stocks with prices less than $5 actually increases the magnitude of the portfolio alpha</w:t>
      </w:r>
      <w:r w:rsidR="00993792" w:rsidRPr="001E192F">
        <w:rPr>
          <w:szCs w:val="24"/>
        </w:rPr>
        <w:t xml:space="preserve">.  </w:t>
      </w:r>
      <w:r w:rsidRPr="001E192F">
        <w:rPr>
          <w:szCs w:val="24"/>
        </w:rPr>
        <w:t>P</w:t>
      </w:r>
      <w:r w:rsidR="004D2757" w:rsidRPr="001E192F">
        <w:rPr>
          <w:szCs w:val="24"/>
        </w:rPr>
        <w:t>roceeding with or without low-priced</w:t>
      </w:r>
      <w:r w:rsidRPr="001E192F">
        <w:rPr>
          <w:szCs w:val="24"/>
        </w:rPr>
        <w:t xml:space="preserve"> stocks are equally valid alternative methodologies</w:t>
      </w:r>
      <w:r w:rsidR="00993792" w:rsidRPr="001E192F">
        <w:rPr>
          <w:szCs w:val="24"/>
        </w:rPr>
        <w:t xml:space="preserve">.  </w:t>
      </w:r>
      <w:r w:rsidRPr="001E192F">
        <w:rPr>
          <w:szCs w:val="24"/>
        </w:rPr>
        <w:t>On the one hand, we should not unnecessarily eliminate data</w:t>
      </w:r>
      <w:r w:rsidR="00993792" w:rsidRPr="001E192F">
        <w:rPr>
          <w:szCs w:val="24"/>
        </w:rPr>
        <w:t xml:space="preserve">.  </w:t>
      </w:r>
      <w:r w:rsidRPr="001E192F">
        <w:rPr>
          <w:szCs w:val="24"/>
        </w:rPr>
        <w:t>On the other</w:t>
      </w:r>
      <w:r w:rsidR="004823C7" w:rsidRPr="001E192F">
        <w:rPr>
          <w:szCs w:val="24"/>
        </w:rPr>
        <w:t xml:space="preserve"> hand</w:t>
      </w:r>
      <w:r w:rsidR="004D2757" w:rsidRPr="001E192F">
        <w:rPr>
          <w:szCs w:val="24"/>
        </w:rPr>
        <w:t xml:space="preserve">, the use of low-priced stocks may negatively </w:t>
      </w:r>
      <w:r w:rsidR="004D2757" w:rsidRPr="001E192F">
        <w:rPr>
          <w:szCs w:val="24"/>
        </w:rPr>
        <w:lastRenderedPageBreak/>
        <w:t>impact inference</w:t>
      </w:r>
      <w:r w:rsidR="004823C7" w:rsidRPr="001E192F">
        <w:rPr>
          <w:color w:val="FF6600"/>
          <w:szCs w:val="24"/>
        </w:rPr>
        <w:t xml:space="preserve"> </w:t>
      </w:r>
      <w:r w:rsidRPr="001E192F">
        <w:rPr>
          <w:szCs w:val="24"/>
        </w:rPr>
        <w:t>because of potential liquidity issues</w:t>
      </w:r>
      <w:r w:rsidR="00993792" w:rsidRPr="001E192F">
        <w:rPr>
          <w:szCs w:val="24"/>
        </w:rPr>
        <w:t xml:space="preserve">.  </w:t>
      </w:r>
      <w:r w:rsidR="00AF13F1" w:rsidRPr="001E192F">
        <w:rPr>
          <w:szCs w:val="24"/>
        </w:rPr>
        <w:t>Further, determining what price is the cutoff for low priced stocks is quite subjective</w:t>
      </w:r>
      <w:r w:rsidR="00993792" w:rsidRPr="001E192F">
        <w:rPr>
          <w:szCs w:val="24"/>
        </w:rPr>
        <w:t xml:space="preserve">.  </w:t>
      </w:r>
      <w:r w:rsidRPr="001E192F">
        <w:rPr>
          <w:szCs w:val="24"/>
        </w:rPr>
        <w:t xml:space="preserve">Given the conflicting inferences from Bali and </w:t>
      </w:r>
      <w:proofErr w:type="spellStart"/>
      <w:r w:rsidRPr="001E192F">
        <w:rPr>
          <w:szCs w:val="24"/>
        </w:rPr>
        <w:t>Cakici</w:t>
      </w:r>
      <w:proofErr w:type="spellEnd"/>
      <w:r w:rsidRPr="001E192F">
        <w:rPr>
          <w:szCs w:val="24"/>
        </w:rPr>
        <w:t xml:space="preserve"> (2008) and Chen </w:t>
      </w:r>
      <w:r w:rsidR="002E005B" w:rsidRPr="001E192F">
        <w:rPr>
          <w:szCs w:val="24"/>
        </w:rPr>
        <w:t xml:space="preserve">et al. </w:t>
      </w:r>
      <w:r w:rsidRPr="001E192F">
        <w:rPr>
          <w:szCs w:val="24"/>
        </w:rPr>
        <w:t>(2012)</w:t>
      </w:r>
      <w:r w:rsidR="004435E3" w:rsidRPr="001E192F">
        <w:rPr>
          <w:szCs w:val="24"/>
        </w:rPr>
        <w:t>,</w:t>
      </w:r>
      <w:r w:rsidRPr="001E192F">
        <w:rPr>
          <w:szCs w:val="24"/>
        </w:rPr>
        <w:t xml:space="preserve"> and </w:t>
      </w:r>
      <w:r w:rsidR="004435E3" w:rsidRPr="001E192F">
        <w:rPr>
          <w:szCs w:val="24"/>
        </w:rPr>
        <w:t xml:space="preserve">the </w:t>
      </w:r>
      <w:r w:rsidRPr="001E192F">
        <w:rPr>
          <w:szCs w:val="24"/>
        </w:rPr>
        <w:t xml:space="preserve">difficulty in determining </w:t>
      </w:r>
      <w:r w:rsidR="00AF13F1" w:rsidRPr="001E192F">
        <w:rPr>
          <w:szCs w:val="24"/>
        </w:rPr>
        <w:t xml:space="preserve">the correct price cutoff, </w:t>
      </w:r>
      <w:r w:rsidR="00947984" w:rsidRPr="001E192F">
        <w:rPr>
          <w:szCs w:val="24"/>
        </w:rPr>
        <w:t>we report the pricing of idiosyncratic volatility excluding both stocks with prices less than $5 and less than $10.</w:t>
      </w:r>
    </w:p>
    <w:p w14:paraId="33A37CE4" w14:textId="77777777" w:rsidR="00832A2F" w:rsidRPr="001E192F" w:rsidRDefault="00832A2F" w:rsidP="009A2C29">
      <w:pPr>
        <w:spacing w:after="0" w:line="360" w:lineRule="auto"/>
        <w:rPr>
          <w:szCs w:val="24"/>
        </w:rPr>
      </w:pPr>
    </w:p>
    <w:p w14:paraId="6A6270E8" w14:textId="5E22324C" w:rsidR="00337ADD" w:rsidRPr="009A2C29" w:rsidRDefault="00FB0037" w:rsidP="009A2C29">
      <w:pPr>
        <w:pStyle w:val="Title"/>
        <w:spacing w:after="0" w:line="360" w:lineRule="auto"/>
        <w:jc w:val="left"/>
        <w:rPr>
          <w:rFonts w:cs="Times New Roman"/>
          <w:szCs w:val="24"/>
        </w:rPr>
      </w:pPr>
      <w:r>
        <w:rPr>
          <w:rFonts w:cs="Times New Roman"/>
          <w:szCs w:val="24"/>
        </w:rPr>
        <w:t xml:space="preserve">4.   </w:t>
      </w:r>
      <w:r w:rsidR="00D12CDA" w:rsidRPr="009A2C29">
        <w:rPr>
          <w:rFonts w:cs="Times New Roman"/>
          <w:szCs w:val="24"/>
        </w:rPr>
        <w:t>Data</w:t>
      </w:r>
      <w:r w:rsidR="004538D7" w:rsidRPr="009A2C29">
        <w:rPr>
          <w:rFonts w:cs="Times New Roman"/>
          <w:szCs w:val="24"/>
        </w:rPr>
        <w:t xml:space="preserve"> and Sample</w:t>
      </w:r>
    </w:p>
    <w:p w14:paraId="26BB0EC5" w14:textId="24F6C958" w:rsidR="00D12CDA" w:rsidRPr="001E192F" w:rsidRDefault="00941F7A" w:rsidP="009A2C29">
      <w:pPr>
        <w:spacing w:after="0" w:line="360" w:lineRule="auto"/>
        <w:rPr>
          <w:szCs w:val="24"/>
        </w:rPr>
      </w:pPr>
      <w:r w:rsidRPr="001E192F">
        <w:rPr>
          <w:szCs w:val="24"/>
        </w:rPr>
        <w:t xml:space="preserve">The data </w:t>
      </w:r>
      <w:r w:rsidR="00D12CDA" w:rsidRPr="001E192F">
        <w:rPr>
          <w:szCs w:val="24"/>
        </w:rPr>
        <w:t>come from CRSP and Kenneth F</w:t>
      </w:r>
      <w:r w:rsidRPr="001E192F">
        <w:rPr>
          <w:szCs w:val="24"/>
        </w:rPr>
        <w:t>rench’s data library</w:t>
      </w:r>
      <w:r w:rsidR="00993792" w:rsidRPr="001E192F">
        <w:rPr>
          <w:szCs w:val="24"/>
        </w:rPr>
        <w:t xml:space="preserve">.  </w:t>
      </w:r>
      <w:r w:rsidRPr="001E192F">
        <w:rPr>
          <w:szCs w:val="24"/>
        </w:rPr>
        <w:t>From CRSP</w:t>
      </w:r>
      <w:r w:rsidR="00D12CDA" w:rsidRPr="001E192F">
        <w:rPr>
          <w:szCs w:val="24"/>
        </w:rPr>
        <w:t xml:space="preserve"> we o</w:t>
      </w:r>
      <w:r w:rsidR="00733B5B" w:rsidRPr="001E192F">
        <w:rPr>
          <w:szCs w:val="24"/>
        </w:rPr>
        <w:t>btain all data for returns, prices, shares outstanding, SIC codes, and exchange codes</w:t>
      </w:r>
      <w:r w:rsidR="00993792" w:rsidRPr="001E192F">
        <w:rPr>
          <w:szCs w:val="24"/>
        </w:rPr>
        <w:t xml:space="preserve">.  </w:t>
      </w:r>
      <w:r w:rsidR="00D12CDA" w:rsidRPr="001E192F">
        <w:rPr>
          <w:szCs w:val="24"/>
        </w:rPr>
        <w:t>Fro</w:t>
      </w:r>
      <w:r w:rsidRPr="001E192F">
        <w:rPr>
          <w:szCs w:val="24"/>
        </w:rPr>
        <w:t>m Kenneth French’s data library</w:t>
      </w:r>
      <w:r w:rsidR="00D12CDA" w:rsidRPr="001E192F">
        <w:rPr>
          <w:szCs w:val="24"/>
        </w:rPr>
        <w:t xml:space="preserve"> we obtain the risk-free rate</w:t>
      </w:r>
      <w:r w:rsidR="004435E3" w:rsidRPr="001E192F">
        <w:rPr>
          <w:szCs w:val="24"/>
        </w:rPr>
        <w:t>,</w:t>
      </w:r>
      <w:r w:rsidR="00D12CDA" w:rsidRPr="001E192F">
        <w:rPr>
          <w:szCs w:val="24"/>
        </w:rPr>
        <w:t xml:space="preserve"> </w:t>
      </w:r>
      <w:r w:rsidR="00733B5B" w:rsidRPr="001E192F">
        <w:rPr>
          <w:szCs w:val="24"/>
        </w:rPr>
        <w:t>the market return factor, the size factor, the value factor, the momentum factor,</w:t>
      </w:r>
      <w:r w:rsidR="00D12CDA" w:rsidRPr="001E192F">
        <w:rPr>
          <w:szCs w:val="24"/>
        </w:rPr>
        <w:t xml:space="preserve"> and </w:t>
      </w:r>
      <w:r w:rsidR="00733B5B" w:rsidRPr="001E192F">
        <w:rPr>
          <w:szCs w:val="24"/>
        </w:rPr>
        <w:t>the short-term reversal factor</w:t>
      </w:r>
      <w:r w:rsidR="00993792" w:rsidRPr="001E192F">
        <w:rPr>
          <w:szCs w:val="24"/>
        </w:rPr>
        <w:t xml:space="preserve">.  </w:t>
      </w:r>
      <w:r w:rsidR="00D12CDA" w:rsidRPr="001E192F">
        <w:rPr>
          <w:szCs w:val="24"/>
        </w:rPr>
        <w:t xml:space="preserve">We </w:t>
      </w:r>
      <w:r w:rsidR="00D84B79" w:rsidRPr="001E192F">
        <w:rPr>
          <w:szCs w:val="24"/>
        </w:rPr>
        <w:t xml:space="preserve">apply standard </w:t>
      </w:r>
      <w:r w:rsidR="00D12CDA" w:rsidRPr="001E192F">
        <w:rPr>
          <w:szCs w:val="24"/>
        </w:rPr>
        <w:t>filter</w:t>
      </w:r>
      <w:r w:rsidR="00D84B79" w:rsidRPr="001E192F">
        <w:rPr>
          <w:szCs w:val="24"/>
        </w:rPr>
        <w:t>s</w:t>
      </w:r>
      <w:r w:rsidR="00D12CDA" w:rsidRPr="001E192F">
        <w:rPr>
          <w:szCs w:val="24"/>
        </w:rPr>
        <w:t xml:space="preserve"> </w:t>
      </w:r>
      <w:r w:rsidR="00D84B79" w:rsidRPr="001E192F">
        <w:rPr>
          <w:szCs w:val="24"/>
        </w:rPr>
        <w:t>and remove</w:t>
      </w:r>
      <w:r w:rsidR="00D12CDA" w:rsidRPr="001E192F">
        <w:rPr>
          <w:szCs w:val="24"/>
        </w:rPr>
        <w:t xml:space="preserve"> all stocks from the firms in the financial industry (SIC 6000 to 6999) and utilities (SIC 4900 to 4999)</w:t>
      </w:r>
      <w:r w:rsidR="00993792" w:rsidRPr="001E192F">
        <w:rPr>
          <w:szCs w:val="24"/>
        </w:rPr>
        <w:t xml:space="preserve">.  </w:t>
      </w:r>
      <w:r w:rsidR="00D12CDA" w:rsidRPr="001E192F">
        <w:rPr>
          <w:szCs w:val="24"/>
        </w:rPr>
        <w:t xml:space="preserve">We also filter out all stocks that do </w:t>
      </w:r>
      <w:r w:rsidR="00733B5B" w:rsidRPr="001E192F">
        <w:rPr>
          <w:szCs w:val="24"/>
        </w:rPr>
        <w:t>not trade on the NYSE, American Stock Exchange, or NASDAQ</w:t>
      </w:r>
      <w:r w:rsidR="00993792" w:rsidRPr="001E192F">
        <w:rPr>
          <w:szCs w:val="24"/>
        </w:rPr>
        <w:t xml:space="preserve">.  </w:t>
      </w:r>
      <w:r w:rsidR="00D12CDA" w:rsidRPr="001E192F">
        <w:rPr>
          <w:szCs w:val="24"/>
        </w:rPr>
        <w:t xml:space="preserve">We filter out all observations that do not have data on returns, the end of month price, </w:t>
      </w:r>
      <w:r w:rsidR="00AC18D1" w:rsidRPr="001E192F">
        <w:rPr>
          <w:szCs w:val="24"/>
        </w:rPr>
        <w:t xml:space="preserve">or </w:t>
      </w:r>
      <w:r w:rsidR="00D12CDA" w:rsidRPr="001E192F">
        <w:rPr>
          <w:szCs w:val="24"/>
        </w:rPr>
        <w:t>sufficient daily returns to calculate idiosyncratic volatility from the previous month</w:t>
      </w:r>
      <w:r w:rsidR="00993792" w:rsidRPr="001E192F">
        <w:rPr>
          <w:szCs w:val="24"/>
        </w:rPr>
        <w:t xml:space="preserve">.  </w:t>
      </w:r>
      <w:r w:rsidR="006871B8" w:rsidRPr="001E192F">
        <w:rPr>
          <w:szCs w:val="24"/>
        </w:rPr>
        <w:t>Finally, we require stocks to have book value of equity available from COMPUSTAT</w:t>
      </w:r>
      <w:r w:rsidR="00993792" w:rsidRPr="001E192F">
        <w:rPr>
          <w:szCs w:val="24"/>
        </w:rPr>
        <w:t xml:space="preserve">.  </w:t>
      </w:r>
      <w:r w:rsidR="006871B8" w:rsidRPr="001E192F">
        <w:rPr>
          <w:szCs w:val="24"/>
        </w:rPr>
        <w:t xml:space="preserve">We use the </w:t>
      </w:r>
      <w:proofErr w:type="spellStart"/>
      <w:r w:rsidR="006871B8" w:rsidRPr="001E192F">
        <w:rPr>
          <w:szCs w:val="24"/>
        </w:rPr>
        <w:t>Fama</w:t>
      </w:r>
      <w:proofErr w:type="spellEnd"/>
      <w:r w:rsidR="006871B8" w:rsidRPr="001E192F">
        <w:rPr>
          <w:szCs w:val="24"/>
        </w:rPr>
        <w:t xml:space="preserve"> and French (1992) method for computing book value of equity</w:t>
      </w:r>
      <w:r w:rsidR="00993792" w:rsidRPr="001E192F">
        <w:rPr>
          <w:szCs w:val="24"/>
        </w:rPr>
        <w:t xml:space="preserve">.  </w:t>
      </w:r>
      <w:r w:rsidR="00D12CDA" w:rsidRPr="001E192F">
        <w:rPr>
          <w:szCs w:val="24"/>
        </w:rPr>
        <w:t xml:space="preserve">With these filters and data requirements, our full sample is </w:t>
      </w:r>
      <w:r w:rsidR="008C7FC4" w:rsidRPr="001E192F">
        <w:rPr>
          <w:szCs w:val="24"/>
        </w:rPr>
        <w:t>1,731,820</w:t>
      </w:r>
      <w:r w:rsidR="00D12CDA" w:rsidRPr="001E192F">
        <w:rPr>
          <w:szCs w:val="24"/>
        </w:rPr>
        <w:t xml:space="preserve"> stock-month observations spanning from August </w:t>
      </w:r>
      <w:r w:rsidR="00433D47" w:rsidRPr="001E192F">
        <w:rPr>
          <w:szCs w:val="24"/>
        </w:rPr>
        <w:t>196</w:t>
      </w:r>
      <w:r w:rsidR="004538D7" w:rsidRPr="001E192F">
        <w:rPr>
          <w:szCs w:val="24"/>
        </w:rPr>
        <w:t>2</w:t>
      </w:r>
      <w:r w:rsidR="00D12CDA" w:rsidRPr="001E192F">
        <w:rPr>
          <w:szCs w:val="24"/>
        </w:rPr>
        <w:t xml:space="preserve"> to December 20</w:t>
      </w:r>
      <w:r w:rsidR="008C7FC4" w:rsidRPr="001E192F">
        <w:rPr>
          <w:szCs w:val="24"/>
        </w:rPr>
        <w:t>00</w:t>
      </w:r>
      <w:r w:rsidR="00993792" w:rsidRPr="001E192F">
        <w:rPr>
          <w:szCs w:val="24"/>
        </w:rPr>
        <w:t xml:space="preserve">.  </w:t>
      </w:r>
      <w:r w:rsidR="008C7FC4" w:rsidRPr="001E192F">
        <w:rPr>
          <w:szCs w:val="24"/>
        </w:rPr>
        <w:t xml:space="preserve">We choose this end point to direct </w:t>
      </w:r>
      <w:r w:rsidR="00AC18D1" w:rsidRPr="001E192F">
        <w:rPr>
          <w:szCs w:val="24"/>
        </w:rPr>
        <w:t xml:space="preserve">all </w:t>
      </w:r>
      <w:r w:rsidR="008C7FC4" w:rsidRPr="001E192F">
        <w:rPr>
          <w:szCs w:val="24"/>
        </w:rPr>
        <w:t>comparison</w:t>
      </w:r>
      <w:r w:rsidR="00AC18D1" w:rsidRPr="001E192F">
        <w:rPr>
          <w:szCs w:val="24"/>
        </w:rPr>
        <w:t>s</w:t>
      </w:r>
      <w:r w:rsidR="008C7FC4" w:rsidRPr="001E192F">
        <w:rPr>
          <w:szCs w:val="24"/>
        </w:rPr>
        <w:t xml:space="preserve"> to the original results in </w:t>
      </w:r>
      <w:proofErr w:type="spellStart"/>
      <w:r w:rsidR="008C7FC4" w:rsidRPr="001E192F">
        <w:rPr>
          <w:szCs w:val="24"/>
        </w:rPr>
        <w:t>Ang</w:t>
      </w:r>
      <w:proofErr w:type="spellEnd"/>
      <w:r w:rsidR="008C7FC4" w:rsidRPr="001E192F">
        <w:rPr>
          <w:szCs w:val="24"/>
        </w:rPr>
        <w:t xml:space="preserve"> </w:t>
      </w:r>
      <w:r w:rsidR="002E005B" w:rsidRPr="001E192F">
        <w:rPr>
          <w:szCs w:val="24"/>
        </w:rPr>
        <w:t xml:space="preserve">et al. </w:t>
      </w:r>
      <w:r w:rsidR="008C7FC4" w:rsidRPr="001E192F">
        <w:rPr>
          <w:szCs w:val="24"/>
        </w:rPr>
        <w:t xml:space="preserve">(2006) without fear of a change in market conditions (e.g., Han and </w:t>
      </w:r>
      <w:proofErr w:type="spellStart"/>
      <w:r w:rsidR="008C7FC4" w:rsidRPr="001E192F">
        <w:rPr>
          <w:szCs w:val="24"/>
        </w:rPr>
        <w:t>Lesmond</w:t>
      </w:r>
      <w:proofErr w:type="spellEnd"/>
      <w:r w:rsidR="008C7FC4" w:rsidRPr="001E192F">
        <w:rPr>
          <w:szCs w:val="24"/>
        </w:rPr>
        <w:t>, 2011) as the cause of our different results.</w:t>
      </w:r>
    </w:p>
    <w:p w14:paraId="7D878DA3" w14:textId="77777777" w:rsidR="00F05C2D" w:rsidRPr="001E192F" w:rsidRDefault="00F05C2D" w:rsidP="009A2C29">
      <w:pPr>
        <w:spacing w:after="0" w:line="360" w:lineRule="auto"/>
        <w:ind w:firstLine="0"/>
        <w:rPr>
          <w:szCs w:val="24"/>
        </w:rPr>
      </w:pPr>
    </w:p>
    <w:p w14:paraId="4C79E91A" w14:textId="60F07682" w:rsidR="007E4608" w:rsidRPr="009A2C29" w:rsidRDefault="00FB0037" w:rsidP="009A2C29">
      <w:pPr>
        <w:pStyle w:val="Title"/>
        <w:spacing w:after="0" w:line="360" w:lineRule="auto"/>
        <w:jc w:val="left"/>
        <w:rPr>
          <w:rFonts w:cs="Times New Roman"/>
          <w:szCs w:val="24"/>
        </w:rPr>
      </w:pPr>
      <w:r>
        <w:rPr>
          <w:rFonts w:cs="Times New Roman"/>
          <w:szCs w:val="24"/>
        </w:rPr>
        <w:t xml:space="preserve">5.  </w:t>
      </w:r>
      <w:r w:rsidR="00337ADD" w:rsidRPr="009A2C29">
        <w:rPr>
          <w:rFonts w:cs="Times New Roman"/>
          <w:szCs w:val="24"/>
        </w:rPr>
        <w:t>The Effects of Alternative Empirical D</w:t>
      </w:r>
      <w:r w:rsidR="00D12CDA" w:rsidRPr="009A2C29">
        <w:rPr>
          <w:rFonts w:cs="Times New Roman"/>
          <w:szCs w:val="24"/>
        </w:rPr>
        <w:t>esigns</w:t>
      </w:r>
    </w:p>
    <w:p w14:paraId="7A95951C" w14:textId="03FF3E75" w:rsidR="00D12CDA" w:rsidRPr="00FB0037" w:rsidRDefault="00FB0037" w:rsidP="009A2C29">
      <w:pPr>
        <w:pStyle w:val="Subtitle"/>
        <w:spacing w:line="360" w:lineRule="auto"/>
        <w:ind w:firstLine="0"/>
        <w:rPr>
          <w:rFonts w:cs="Times New Roman"/>
          <w:b/>
          <w:i w:val="0"/>
          <w:szCs w:val="24"/>
        </w:rPr>
      </w:pPr>
      <w:proofErr w:type="gramStart"/>
      <w:r w:rsidRPr="00FB0037">
        <w:rPr>
          <w:rFonts w:cs="Times New Roman"/>
          <w:b/>
          <w:i w:val="0"/>
          <w:szCs w:val="24"/>
        </w:rPr>
        <w:t xml:space="preserve">5.1  </w:t>
      </w:r>
      <w:r w:rsidR="00D12CDA" w:rsidRPr="00FB0037">
        <w:rPr>
          <w:rFonts w:cs="Times New Roman"/>
          <w:b/>
          <w:i w:val="0"/>
          <w:szCs w:val="24"/>
        </w:rPr>
        <w:t>The</w:t>
      </w:r>
      <w:proofErr w:type="gramEnd"/>
      <w:r w:rsidR="00D12CDA" w:rsidRPr="00FB0037">
        <w:rPr>
          <w:rFonts w:cs="Times New Roman"/>
          <w:b/>
          <w:i w:val="0"/>
          <w:szCs w:val="24"/>
        </w:rPr>
        <w:t xml:space="preserve"> effect of alternative empirical designs on value-weighted portfolios</w:t>
      </w:r>
    </w:p>
    <w:p w14:paraId="4CE8BFB2" w14:textId="5B1F4F4E" w:rsidR="001404CC" w:rsidRPr="001E192F" w:rsidRDefault="00D12CDA" w:rsidP="009A2C29">
      <w:pPr>
        <w:spacing w:after="0" w:line="360" w:lineRule="auto"/>
        <w:rPr>
          <w:szCs w:val="24"/>
        </w:rPr>
      </w:pPr>
      <w:r w:rsidRPr="001E192F">
        <w:rPr>
          <w:szCs w:val="24"/>
        </w:rPr>
        <w:t>In this section, we analyze the impact of our alter</w:t>
      </w:r>
      <w:r w:rsidR="00941F7A" w:rsidRPr="001E192F">
        <w:rPr>
          <w:szCs w:val="24"/>
        </w:rPr>
        <w:t xml:space="preserve">native empirical choices on </w:t>
      </w:r>
      <w:r w:rsidRPr="001E192F">
        <w:rPr>
          <w:szCs w:val="24"/>
        </w:rPr>
        <w:t>estima</w:t>
      </w:r>
      <w:r w:rsidR="00941F7A" w:rsidRPr="001E192F">
        <w:rPr>
          <w:szCs w:val="24"/>
        </w:rPr>
        <w:t>ted portfolio alphas for</w:t>
      </w:r>
      <w:r w:rsidR="001404CC" w:rsidRPr="001E192F">
        <w:rPr>
          <w:szCs w:val="24"/>
        </w:rPr>
        <w:t xml:space="preserve"> value-weighted portfolios,</w:t>
      </w:r>
      <w:r w:rsidRPr="001E192F">
        <w:rPr>
          <w:szCs w:val="24"/>
        </w:rPr>
        <w:t xml:space="preserve"> weighted by the stock’s market capitalization at the end of the previous month</w:t>
      </w:r>
      <w:r w:rsidR="00993792" w:rsidRPr="001E192F">
        <w:rPr>
          <w:szCs w:val="24"/>
        </w:rPr>
        <w:t xml:space="preserve">.  </w:t>
      </w:r>
      <w:r w:rsidR="00AC18D1" w:rsidRPr="001E192F">
        <w:rPr>
          <w:szCs w:val="24"/>
        </w:rPr>
        <w:t xml:space="preserve">In Table 2, </w:t>
      </w:r>
      <w:r w:rsidRPr="001E192F">
        <w:rPr>
          <w:szCs w:val="24"/>
        </w:rPr>
        <w:t xml:space="preserve">we </w:t>
      </w:r>
      <w:r w:rsidR="00453D2D" w:rsidRPr="001E192F">
        <w:rPr>
          <w:szCs w:val="24"/>
        </w:rPr>
        <w:t>report</w:t>
      </w:r>
      <w:r w:rsidR="00341DCA" w:rsidRPr="001E192F">
        <w:rPr>
          <w:szCs w:val="24"/>
        </w:rPr>
        <w:t xml:space="preserve"> </w:t>
      </w:r>
      <w:r w:rsidR="005C5062" w:rsidRPr="001E192F">
        <w:rPr>
          <w:szCs w:val="24"/>
        </w:rPr>
        <w:t xml:space="preserve">again </w:t>
      </w:r>
      <w:r w:rsidR="00341DCA" w:rsidRPr="001E192F">
        <w:rPr>
          <w:szCs w:val="24"/>
        </w:rPr>
        <w:t xml:space="preserve">the </w:t>
      </w:r>
      <w:proofErr w:type="spellStart"/>
      <w:r w:rsidR="003D4ED5" w:rsidRPr="001E192F">
        <w:rPr>
          <w:szCs w:val="24"/>
        </w:rPr>
        <w:t>Fama</w:t>
      </w:r>
      <w:proofErr w:type="spellEnd"/>
      <w:r w:rsidR="003D4ED5" w:rsidRPr="001E192F">
        <w:rPr>
          <w:szCs w:val="24"/>
        </w:rPr>
        <w:t xml:space="preserve">-French (1993) </w:t>
      </w:r>
      <w:r w:rsidR="00941F7A" w:rsidRPr="001E192F">
        <w:rPr>
          <w:szCs w:val="24"/>
        </w:rPr>
        <w:t xml:space="preserve">three-factor alphas </w:t>
      </w:r>
      <w:r w:rsidR="00AC18D1" w:rsidRPr="001E192F">
        <w:rPr>
          <w:szCs w:val="24"/>
        </w:rPr>
        <w:t xml:space="preserve">in the row labeled “Benchmark”.  </w:t>
      </w:r>
      <w:r w:rsidR="004F3B73" w:rsidRPr="001E192F">
        <w:rPr>
          <w:szCs w:val="24"/>
        </w:rPr>
        <w:t>We provide alphas for alternative empirical designs in the subsequent rows, labeled accordingly in the “Methodology” column</w:t>
      </w:r>
      <w:r w:rsidR="00993792" w:rsidRPr="001E192F">
        <w:rPr>
          <w:szCs w:val="24"/>
        </w:rPr>
        <w:t xml:space="preserve">.  </w:t>
      </w:r>
      <w:r w:rsidR="004F3B73" w:rsidRPr="001E192F">
        <w:rPr>
          <w:szCs w:val="24"/>
        </w:rPr>
        <w:t xml:space="preserve">All portfolios </w:t>
      </w:r>
      <w:r w:rsidR="00A401A9" w:rsidRPr="001E192F">
        <w:rPr>
          <w:szCs w:val="24"/>
        </w:rPr>
        <w:t xml:space="preserve">are </w:t>
      </w:r>
      <w:r w:rsidRPr="001E192F">
        <w:rPr>
          <w:szCs w:val="24"/>
        </w:rPr>
        <w:t>constructed with CRSP breakpoints</w:t>
      </w:r>
      <w:r w:rsidR="004F3B73" w:rsidRPr="001E192F">
        <w:rPr>
          <w:szCs w:val="24"/>
        </w:rPr>
        <w:t>, with the exception of the fifth row of alphas, which are constructed with</w:t>
      </w:r>
      <w:r w:rsidR="00A401A9" w:rsidRPr="001E192F">
        <w:rPr>
          <w:szCs w:val="24"/>
        </w:rPr>
        <w:t xml:space="preserve"> NYSE </w:t>
      </w:r>
      <w:r w:rsidR="003D4ED5" w:rsidRPr="001E192F">
        <w:rPr>
          <w:szCs w:val="24"/>
        </w:rPr>
        <w:t>b</w:t>
      </w:r>
      <w:r w:rsidR="00A401A9" w:rsidRPr="001E192F">
        <w:rPr>
          <w:szCs w:val="24"/>
        </w:rPr>
        <w:t>reak</w:t>
      </w:r>
      <w:r w:rsidR="003D4ED5" w:rsidRPr="001E192F">
        <w:rPr>
          <w:szCs w:val="24"/>
        </w:rPr>
        <w:t>p</w:t>
      </w:r>
      <w:r w:rsidR="00A401A9" w:rsidRPr="001E192F">
        <w:rPr>
          <w:szCs w:val="24"/>
        </w:rPr>
        <w:t>oints</w:t>
      </w:r>
      <w:r w:rsidRPr="001E192F">
        <w:rPr>
          <w:szCs w:val="24"/>
        </w:rPr>
        <w:t>.</w:t>
      </w:r>
    </w:p>
    <w:p w14:paraId="1A256FCE" w14:textId="4B3A2000" w:rsidR="004A4974" w:rsidRPr="001E192F" w:rsidRDefault="00A401A9" w:rsidP="009A2C29">
      <w:pPr>
        <w:spacing w:after="0" w:line="360" w:lineRule="auto"/>
        <w:rPr>
          <w:szCs w:val="24"/>
        </w:rPr>
      </w:pPr>
      <w:r w:rsidRPr="001E192F">
        <w:rPr>
          <w:szCs w:val="24"/>
        </w:rPr>
        <w:lastRenderedPageBreak/>
        <w:t>Table 2 shows that</w:t>
      </w:r>
      <w:r w:rsidR="00941F7A" w:rsidRPr="001E192F">
        <w:rPr>
          <w:szCs w:val="24"/>
        </w:rPr>
        <w:t xml:space="preserve"> our</w:t>
      </w:r>
      <w:r w:rsidR="00D12CDA" w:rsidRPr="001E192F">
        <w:rPr>
          <w:szCs w:val="24"/>
        </w:rPr>
        <w:t xml:space="preserve"> different empirical </w:t>
      </w:r>
      <w:r w:rsidR="00941F7A" w:rsidRPr="001E192F">
        <w:rPr>
          <w:szCs w:val="24"/>
        </w:rPr>
        <w:t xml:space="preserve">design </w:t>
      </w:r>
      <w:r w:rsidR="00D12CDA" w:rsidRPr="001E192F">
        <w:rPr>
          <w:szCs w:val="24"/>
        </w:rPr>
        <w:t xml:space="preserve">decisions lead to a large dispersion of </w:t>
      </w:r>
      <w:r w:rsidR="00530EBF" w:rsidRPr="001E192F">
        <w:rPr>
          <w:szCs w:val="24"/>
        </w:rPr>
        <w:t>results</w:t>
      </w:r>
      <w:r w:rsidR="00993792" w:rsidRPr="001E192F">
        <w:rPr>
          <w:szCs w:val="24"/>
        </w:rPr>
        <w:t xml:space="preserve">.  </w:t>
      </w:r>
      <w:r w:rsidR="00D12CDA" w:rsidRPr="001E192F">
        <w:rPr>
          <w:szCs w:val="24"/>
        </w:rPr>
        <w:t xml:space="preserve">While all of the estimated alphas from the </w:t>
      </w:r>
      <w:r w:rsidR="00D12CDA" w:rsidRPr="001E192F">
        <w:rPr>
          <w:i/>
          <w:szCs w:val="24"/>
        </w:rPr>
        <w:t>H-L</w:t>
      </w:r>
      <w:r w:rsidR="00D12CDA" w:rsidRPr="001E192F">
        <w:rPr>
          <w:szCs w:val="24"/>
        </w:rPr>
        <w:t xml:space="preserve"> portfolio </w:t>
      </w:r>
      <w:r w:rsidR="00E609D3" w:rsidRPr="001E192F">
        <w:rPr>
          <w:szCs w:val="24"/>
        </w:rPr>
        <w:t xml:space="preserve">are negative and </w:t>
      </w:r>
      <w:r w:rsidR="00D12CDA" w:rsidRPr="001E192F">
        <w:rPr>
          <w:szCs w:val="24"/>
        </w:rPr>
        <w:t>statistically significant</w:t>
      </w:r>
      <w:r w:rsidR="00E609D3" w:rsidRPr="001E192F">
        <w:rPr>
          <w:szCs w:val="24"/>
        </w:rPr>
        <w:t xml:space="preserve"> for each research design,</w:t>
      </w:r>
      <w:r w:rsidR="00D12CDA" w:rsidRPr="001E192F">
        <w:rPr>
          <w:szCs w:val="24"/>
        </w:rPr>
        <w:t xml:space="preserve"> economic significa</w:t>
      </w:r>
      <w:r w:rsidR="00E609D3" w:rsidRPr="001E192F">
        <w:rPr>
          <w:szCs w:val="24"/>
        </w:rPr>
        <w:t>nce varies greatly</w:t>
      </w:r>
      <w:r w:rsidR="00993792" w:rsidRPr="001E192F">
        <w:rPr>
          <w:szCs w:val="24"/>
        </w:rPr>
        <w:t xml:space="preserve">.  </w:t>
      </w:r>
      <w:r w:rsidR="004F3B73" w:rsidRPr="001E192F">
        <w:rPr>
          <w:szCs w:val="24"/>
        </w:rPr>
        <w:t xml:space="preserve">When </w:t>
      </w:r>
      <w:r w:rsidR="00E609D3" w:rsidRPr="001E192F">
        <w:rPr>
          <w:szCs w:val="24"/>
        </w:rPr>
        <w:t xml:space="preserve">we add the January indicator to the three-factor </w:t>
      </w:r>
      <w:r w:rsidR="004F3B73" w:rsidRPr="001E192F">
        <w:rPr>
          <w:szCs w:val="24"/>
        </w:rPr>
        <w:t xml:space="preserve">benchmark </w:t>
      </w:r>
      <w:r w:rsidR="00E609D3" w:rsidRPr="001E192F">
        <w:rPr>
          <w:szCs w:val="24"/>
        </w:rPr>
        <w:t>model</w:t>
      </w:r>
      <w:r w:rsidR="004F3B73" w:rsidRPr="001E192F">
        <w:rPr>
          <w:szCs w:val="24"/>
        </w:rPr>
        <w:t>,</w:t>
      </w:r>
      <w:r w:rsidR="00D12CDA" w:rsidRPr="001E192F">
        <w:rPr>
          <w:szCs w:val="24"/>
        </w:rPr>
        <w:t xml:space="preserve"> the alpha </w:t>
      </w:r>
      <w:r w:rsidR="00A01EE9" w:rsidRPr="001E192F">
        <w:rPr>
          <w:szCs w:val="24"/>
        </w:rPr>
        <w:t>increases in magnitude</w:t>
      </w:r>
      <w:r w:rsidR="00D12CDA" w:rsidRPr="001E192F">
        <w:rPr>
          <w:szCs w:val="24"/>
        </w:rPr>
        <w:t xml:space="preserve"> </w:t>
      </w:r>
      <w:r w:rsidR="00E609D3" w:rsidRPr="001E192F">
        <w:rPr>
          <w:szCs w:val="24"/>
        </w:rPr>
        <w:t xml:space="preserve">by </w:t>
      </w:r>
      <w:r w:rsidR="00A01EE9" w:rsidRPr="001E192F">
        <w:rPr>
          <w:szCs w:val="24"/>
        </w:rPr>
        <w:t>about 0.1</w:t>
      </w:r>
      <w:r w:rsidR="00D12CDA" w:rsidRPr="001E192F">
        <w:rPr>
          <w:szCs w:val="24"/>
        </w:rPr>
        <w:t xml:space="preserve">% per month, which corresponds to a compound annual </w:t>
      </w:r>
      <w:r w:rsidR="00080ADF" w:rsidRPr="001E192F">
        <w:rPr>
          <w:szCs w:val="24"/>
        </w:rPr>
        <w:t xml:space="preserve">difference of </w:t>
      </w:r>
      <w:r w:rsidR="00A01EE9" w:rsidRPr="001E192F">
        <w:rPr>
          <w:szCs w:val="24"/>
        </w:rPr>
        <w:noBreakHyphen/>
        <w:t>1.2</w:t>
      </w:r>
      <w:r w:rsidR="00904B6B" w:rsidRPr="001E192F">
        <w:rPr>
          <w:szCs w:val="24"/>
        </w:rPr>
        <w:t>%</w:t>
      </w:r>
      <w:r w:rsidR="00993792" w:rsidRPr="001E192F">
        <w:rPr>
          <w:szCs w:val="24"/>
        </w:rPr>
        <w:t xml:space="preserve">.  </w:t>
      </w:r>
      <w:r w:rsidR="00A01EE9" w:rsidRPr="001E192F">
        <w:rPr>
          <w:szCs w:val="24"/>
        </w:rPr>
        <w:t>The addition of the Momentum and</w:t>
      </w:r>
      <w:r w:rsidR="00234F41" w:rsidRPr="001E192F">
        <w:rPr>
          <w:szCs w:val="24"/>
        </w:rPr>
        <w:t xml:space="preserve"> Reversal Factor</w:t>
      </w:r>
      <w:r w:rsidR="00A01EE9" w:rsidRPr="001E192F">
        <w:rPr>
          <w:szCs w:val="24"/>
        </w:rPr>
        <w:t>s</w:t>
      </w:r>
      <w:r w:rsidR="00D44AD3" w:rsidRPr="001E192F">
        <w:rPr>
          <w:szCs w:val="24"/>
        </w:rPr>
        <w:t xml:space="preserve"> </w:t>
      </w:r>
      <w:r w:rsidR="00A01EE9" w:rsidRPr="001E192F">
        <w:rPr>
          <w:szCs w:val="24"/>
        </w:rPr>
        <w:t xml:space="preserve">to our </w:t>
      </w:r>
      <w:r w:rsidR="004F3B73" w:rsidRPr="001E192F">
        <w:rPr>
          <w:szCs w:val="24"/>
        </w:rPr>
        <w:t xml:space="preserve">benchmark </w:t>
      </w:r>
      <w:r w:rsidR="00A01EE9" w:rsidRPr="001E192F">
        <w:rPr>
          <w:szCs w:val="24"/>
        </w:rPr>
        <w:t>factor model has a negligible impact on the magnitude of the benchmark alpha</w:t>
      </w:r>
      <w:r w:rsidR="00993792" w:rsidRPr="001E192F">
        <w:rPr>
          <w:szCs w:val="24"/>
        </w:rPr>
        <w:t xml:space="preserve">.  </w:t>
      </w:r>
      <w:r w:rsidR="00A01EE9" w:rsidRPr="001E192F">
        <w:rPr>
          <w:szCs w:val="24"/>
        </w:rPr>
        <w:t xml:space="preserve">The other five changes to the methodology substantially </w:t>
      </w:r>
      <w:r w:rsidR="005C5062" w:rsidRPr="001E192F">
        <w:rPr>
          <w:szCs w:val="24"/>
        </w:rPr>
        <w:t>increase</w:t>
      </w:r>
      <w:r w:rsidR="00A01EE9" w:rsidRPr="001E192F">
        <w:rPr>
          <w:szCs w:val="24"/>
        </w:rPr>
        <w:t xml:space="preserve"> the magnitude of the alphas</w:t>
      </w:r>
      <w:r w:rsidR="00993792" w:rsidRPr="001E192F">
        <w:rPr>
          <w:szCs w:val="24"/>
        </w:rPr>
        <w:t xml:space="preserve">.  </w:t>
      </w:r>
      <w:r w:rsidR="00904B6B" w:rsidRPr="001E192F">
        <w:rPr>
          <w:szCs w:val="24"/>
        </w:rPr>
        <w:t>For example, u</w:t>
      </w:r>
      <w:r w:rsidR="00D44AD3" w:rsidRPr="001E192F">
        <w:rPr>
          <w:szCs w:val="24"/>
        </w:rPr>
        <w:t>sing NYSE breakp</w:t>
      </w:r>
      <w:r w:rsidR="00B22C7D" w:rsidRPr="001E192F">
        <w:rPr>
          <w:szCs w:val="24"/>
        </w:rPr>
        <w:t>oints increase</w:t>
      </w:r>
      <w:r w:rsidR="00904B6B" w:rsidRPr="001E192F">
        <w:rPr>
          <w:szCs w:val="24"/>
        </w:rPr>
        <w:t>s</w:t>
      </w:r>
      <w:r w:rsidR="00B22C7D" w:rsidRPr="001E192F">
        <w:rPr>
          <w:szCs w:val="24"/>
        </w:rPr>
        <w:t xml:space="preserve"> the benchmark </w:t>
      </w:r>
      <w:r w:rsidR="00B22C7D" w:rsidRPr="001E192F">
        <w:rPr>
          <w:i/>
          <w:szCs w:val="24"/>
        </w:rPr>
        <w:t>H-L</w:t>
      </w:r>
      <w:r w:rsidR="00B22C7D" w:rsidRPr="001E192F">
        <w:rPr>
          <w:szCs w:val="24"/>
        </w:rPr>
        <w:t xml:space="preserve"> alpha from </w:t>
      </w:r>
      <w:r w:rsidR="00A01EE9" w:rsidRPr="001E192F">
        <w:rPr>
          <w:szCs w:val="24"/>
        </w:rPr>
        <w:noBreakHyphen/>
      </w:r>
      <w:r w:rsidR="00B22C7D" w:rsidRPr="001E192F">
        <w:rPr>
          <w:szCs w:val="24"/>
        </w:rPr>
        <w:t>1.3</w:t>
      </w:r>
      <w:r w:rsidR="00A01EE9" w:rsidRPr="001E192F">
        <w:rPr>
          <w:szCs w:val="24"/>
        </w:rPr>
        <w:t>7</w:t>
      </w:r>
      <w:r w:rsidR="004F3B73" w:rsidRPr="001E192F">
        <w:rPr>
          <w:szCs w:val="24"/>
        </w:rPr>
        <w:t>2</w:t>
      </w:r>
      <w:r w:rsidR="00B22C7D" w:rsidRPr="001E192F">
        <w:rPr>
          <w:szCs w:val="24"/>
        </w:rPr>
        <w:t xml:space="preserve">% to </w:t>
      </w:r>
      <w:r w:rsidR="00A01EE9" w:rsidRPr="001E192F">
        <w:rPr>
          <w:szCs w:val="24"/>
        </w:rPr>
        <w:noBreakHyphen/>
      </w:r>
      <w:r w:rsidR="00B22C7D" w:rsidRPr="001E192F">
        <w:rPr>
          <w:szCs w:val="24"/>
        </w:rPr>
        <w:t>0.6</w:t>
      </w:r>
      <w:r w:rsidR="004F3B73" w:rsidRPr="001E192F">
        <w:rPr>
          <w:szCs w:val="24"/>
        </w:rPr>
        <w:t>6</w:t>
      </w:r>
      <w:r w:rsidR="00A01EE9" w:rsidRPr="001E192F">
        <w:rPr>
          <w:szCs w:val="24"/>
        </w:rPr>
        <w:t>7</w:t>
      </w:r>
      <w:r w:rsidR="00B22C7D" w:rsidRPr="001E192F">
        <w:rPr>
          <w:szCs w:val="24"/>
        </w:rPr>
        <w:t>%</w:t>
      </w:r>
      <w:r w:rsidR="00993792" w:rsidRPr="001E192F">
        <w:rPr>
          <w:szCs w:val="24"/>
        </w:rPr>
        <w:t xml:space="preserve">.  </w:t>
      </w:r>
      <w:r w:rsidR="00D44AD3" w:rsidRPr="001E192F">
        <w:rPr>
          <w:szCs w:val="24"/>
        </w:rPr>
        <w:t>On an annualized basis</w:t>
      </w:r>
      <w:r w:rsidR="004F3B73" w:rsidRPr="001E192F">
        <w:rPr>
          <w:szCs w:val="24"/>
        </w:rPr>
        <w:t xml:space="preserve">, this represents a substantial, economically significant shift from </w:t>
      </w:r>
      <w:r w:rsidR="008A4FC3" w:rsidRPr="001E192F">
        <w:rPr>
          <w:szCs w:val="24"/>
        </w:rPr>
        <w:t>-15.28% (</w:t>
      </w:r>
      <w:r w:rsidR="004A4974" w:rsidRPr="001E192F">
        <w:rPr>
          <w:szCs w:val="24"/>
        </w:rPr>
        <w:t>b</w:t>
      </w:r>
      <w:r w:rsidR="008A4FC3" w:rsidRPr="001E192F">
        <w:rPr>
          <w:szCs w:val="24"/>
        </w:rPr>
        <w:t xml:space="preserve">enchmark with CRSP breakpoints) to -7.72% (NYSE breakpoints) for the </w:t>
      </w:r>
      <w:r w:rsidR="008A4FC3" w:rsidRPr="001E192F">
        <w:rPr>
          <w:i/>
          <w:szCs w:val="24"/>
        </w:rPr>
        <w:t>H-L</w:t>
      </w:r>
      <w:r w:rsidR="008A4FC3" w:rsidRPr="001E192F">
        <w:rPr>
          <w:szCs w:val="24"/>
        </w:rPr>
        <w:t xml:space="preserve"> portfolio.</w:t>
      </w:r>
      <w:r w:rsidR="00993792" w:rsidRPr="001E192F">
        <w:rPr>
          <w:szCs w:val="24"/>
        </w:rPr>
        <w:t xml:space="preserve">  </w:t>
      </w:r>
      <w:r w:rsidR="00512082" w:rsidRPr="001E192F">
        <w:rPr>
          <w:szCs w:val="24"/>
        </w:rPr>
        <w:t xml:space="preserve">The </w:t>
      </w:r>
      <w:r w:rsidR="008A4FC3" w:rsidRPr="001E192F">
        <w:rPr>
          <w:szCs w:val="24"/>
        </w:rPr>
        <w:t xml:space="preserve">smallest </w:t>
      </w:r>
      <w:r w:rsidR="00512082" w:rsidRPr="001E192F">
        <w:rPr>
          <w:szCs w:val="24"/>
        </w:rPr>
        <w:t xml:space="preserve">alpha </w:t>
      </w:r>
      <w:r w:rsidR="008A4FC3" w:rsidRPr="001E192F">
        <w:rPr>
          <w:szCs w:val="24"/>
        </w:rPr>
        <w:t>occurs</w:t>
      </w:r>
      <w:r w:rsidR="00512082" w:rsidRPr="001E192F">
        <w:rPr>
          <w:szCs w:val="24"/>
        </w:rPr>
        <w:t xml:space="preserve"> when we </w:t>
      </w:r>
      <w:r w:rsidR="008A4FC3" w:rsidRPr="001E192F">
        <w:rPr>
          <w:szCs w:val="24"/>
        </w:rPr>
        <w:t xml:space="preserve">add </w:t>
      </w:r>
      <w:r w:rsidR="00512082" w:rsidRPr="001E192F">
        <w:rPr>
          <w:szCs w:val="24"/>
        </w:rPr>
        <w:t>all of the alternative design choices</w:t>
      </w:r>
      <w:r w:rsidR="00993792" w:rsidRPr="001E192F">
        <w:rPr>
          <w:szCs w:val="24"/>
        </w:rPr>
        <w:t xml:space="preserve">.  </w:t>
      </w:r>
      <w:r w:rsidR="00512082" w:rsidRPr="001E192F">
        <w:rPr>
          <w:szCs w:val="24"/>
        </w:rPr>
        <w:t xml:space="preserve">From this model, the monthly alphas are </w:t>
      </w:r>
      <w:r w:rsidR="00512082" w:rsidRPr="001E192F">
        <w:rPr>
          <w:szCs w:val="24"/>
        </w:rPr>
        <w:noBreakHyphen/>
        <w:t>0.</w:t>
      </w:r>
      <w:r w:rsidR="008A4FC3" w:rsidRPr="001E192F">
        <w:rPr>
          <w:szCs w:val="24"/>
        </w:rPr>
        <w:t>259</w:t>
      </w:r>
      <w:r w:rsidR="00512082" w:rsidRPr="001E192F">
        <w:rPr>
          <w:szCs w:val="24"/>
        </w:rPr>
        <w:t xml:space="preserve">% (or about </w:t>
      </w:r>
      <w:r w:rsidR="00512082" w:rsidRPr="001E192F">
        <w:rPr>
          <w:szCs w:val="24"/>
        </w:rPr>
        <w:noBreakHyphen/>
        <w:t xml:space="preserve">3% per year), which is over 1% per month different than the </w:t>
      </w:r>
      <w:r w:rsidR="008A4FC3" w:rsidRPr="001E192F">
        <w:rPr>
          <w:szCs w:val="24"/>
        </w:rPr>
        <w:t xml:space="preserve">largest </w:t>
      </w:r>
      <w:r w:rsidR="00512082" w:rsidRPr="001E192F">
        <w:rPr>
          <w:szCs w:val="24"/>
        </w:rPr>
        <w:t xml:space="preserve">alpha </w:t>
      </w:r>
      <w:r w:rsidR="008A4FC3" w:rsidRPr="001E192F">
        <w:rPr>
          <w:szCs w:val="24"/>
        </w:rPr>
        <w:t xml:space="preserve">from </w:t>
      </w:r>
      <w:r w:rsidR="00512082" w:rsidRPr="001E192F">
        <w:rPr>
          <w:szCs w:val="24"/>
        </w:rPr>
        <w:t>the January indicator model</w:t>
      </w:r>
      <w:r w:rsidR="004A4974" w:rsidRPr="001E192F">
        <w:rPr>
          <w:szCs w:val="24"/>
        </w:rPr>
        <w:t>.</w:t>
      </w:r>
    </w:p>
    <w:p w14:paraId="2B6E60D9" w14:textId="18B5BC17" w:rsidR="00FF7092" w:rsidRPr="001E192F" w:rsidRDefault="00512082" w:rsidP="009A2C29">
      <w:pPr>
        <w:spacing w:after="0" w:line="360" w:lineRule="auto"/>
        <w:rPr>
          <w:szCs w:val="24"/>
        </w:rPr>
      </w:pPr>
      <w:r w:rsidRPr="001E192F">
        <w:rPr>
          <w:szCs w:val="24"/>
        </w:rPr>
        <w:t xml:space="preserve">The annualized alphas range from </w:t>
      </w:r>
      <w:r w:rsidRPr="001E192F">
        <w:rPr>
          <w:szCs w:val="24"/>
        </w:rPr>
        <w:noBreakHyphen/>
      </w:r>
      <w:r w:rsidR="008A4FC3" w:rsidRPr="001E192F">
        <w:rPr>
          <w:szCs w:val="24"/>
        </w:rPr>
        <w:t>16.36</w:t>
      </w:r>
      <w:r w:rsidRPr="001E192F">
        <w:rPr>
          <w:szCs w:val="24"/>
        </w:rPr>
        <w:t xml:space="preserve">% to </w:t>
      </w:r>
      <w:r w:rsidRPr="001E192F">
        <w:rPr>
          <w:szCs w:val="24"/>
        </w:rPr>
        <w:noBreakHyphen/>
        <w:t>3.06%</w:t>
      </w:r>
      <w:r w:rsidR="004A4974" w:rsidRPr="001E192F">
        <w:rPr>
          <w:szCs w:val="24"/>
        </w:rPr>
        <w:t xml:space="preserve"> demonstrating an interesting aspect of </w:t>
      </w:r>
      <w:proofErr w:type="spellStart"/>
      <w:r w:rsidR="007702B6" w:rsidRPr="001E192F">
        <w:rPr>
          <w:szCs w:val="24"/>
        </w:rPr>
        <w:t>Leamer</w:t>
      </w:r>
      <w:proofErr w:type="spellEnd"/>
      <w:r w:rsidR="007702B6" w:rsidRPr="001E192F">
        <w:rPr>
          <w:szCs w:val="24"/>
        </w:rPr>
        <w:t xml:space="preserve"> (1983) and </w:t>
      </w:r>
      <w:proofErr w:type="spellStart"/>
      <w:r w:rsidR="00672657" w:rsidRPr="001E192F">
        <w:rPr>
          <w:szCs w:val="24"/>
        </w:rPr>
        <w:t>Leamer</w:t>
      </w:r>
      <w:proofErr w:type="spellEnd"/>
      <w:r w:rsidR="00672657" w:rsidRPr="001E192F">
        <w:rPr>
          <w:szCs w:val="24"/>
        </w:rPr>
        <w:t xml:space="preserve"> and Leonard’s (1983) concept of fragility.</w:t>
      </w:r>
      <w:r w:rsidR="007702B6" w:rsidRPr="001E192F">
        <w:rPr>
          <w:szCs w:val="24"/>
        </w:rPr>
        <w:t xml:space="preserve"> Their concept of f</w:t>
      </w:r>
      <w:r w:rsidR="00672657" w:rsidRPr="001E192F">
        <w:rPr>
          <w:szCs w:val="24"/>
        </w:rPr>
        <w:t xml:space="preserve">ragility </w:t>
      </w:r>
      <w:r w:rsidR="007702B6" w:rsidRPr="001E192F">
        <w:rPr>
          <w:szCs w:val="24"/>
        </w:rPr>
        <w:t xml:space="preserve">results from </w:t>
      </w:r>
      <w:r w:rsidR="004A4974" w:rsidRPr="001E192F">
        <w:rPr>
          <w:szCs w:val="24"/>
        </w:rPr>
        <w:t>methodological changes generating a</w:t>
      </w:r>
      <w:r w:rsidR="007702B6" w:rsidRPr="001E192F">
        <w:rPr>
          <w:szCs w:val="24"/>
        </w:rPr>
        <w:t xml:space="preserve"> </w:t>
      </w:r>
      <w:r w:rsidR="00672657" w:rsidRPr="001E192F">
        <w:rPr>
          <w:szCs w:val="24"/>
        </w:rPr>
        <w:t>range of regression of estimates</w:t>
      </w:r>
      <w:r w:rsidR="00993792" w:rsidRPr="001E192F">
        <w:rPr>
          <w:szCs w:val="24"/>
        </w:rPr>
        <w:t xml:space="preserve">.  </w:t>
      </w:r>
      <w:r w:rsidR="00672657" w:rsidRPr="001E192F">
        <w:rPr>
          <w:szCs w:val="24"/>
        </w:rPr>
        <w:t xml:space="preserve">“When the range of inferences is too </w:t>
      </w:r>
      <w:proofErr w:type="gramStart"/>
      <w:r w:rsidR="00672657" w:rsidRPr="001E192F">
        <w:rPr>
          <w:szCs w:val="24"/>
        </w:rPr>
        <w:t>wide…,</w:t>
      </w:r>
      <w:proofErr w:type="gramEnd"/>
      <w:r w:rsidR="00672657" w:rsidRPr="001E192F">
        <w:rPr>
          <w:szCs w:val="24"/>
        </w:rPr>
        <w:t xml:space="preserve"> then we must conclude that inferences…are too fragile to be useful” (</w:t>
      </w:r>
      <w:proofErr w:type="spellStart"/>
      <w:r w:rsidR="00672657" w:rsidRPr="001E192F">
        <w:rPr>
          <w:szCs w:val="24"/>
        </w:rPr>
        <w:t>Leamer</w:t>
      </w:r>
      <w:proofErr w:type="spellEnd"/>
      <w:r w:rsidR="00672657" w:rsidRPr="001E192F">
        <w:rPr>
          <w:szCs w:val="24"/>
        </w:rPr>
        <w:t xml:space="preserve"> and Leonard, 1983, p.306)</w:t>
      </w:r>
      <w:r w:rsidR="00993792" w:rsidRPr="001E192F">
        <w:rPr>
          <w:szCs w:val="24"/>
        </w:rPr>
        <w:t xml:space="preserve">.  </w:t>
      </w:r>
      <w:r w:rsidR="007702B6" w:rsidRPr="001E192F">
        <w:rPr>
          <w:szCs w:val="24"/>
        </w:rPr>
        <w:t xml:space="preserve">The range </w:t>
      </w:r>
      <w:r w:rsidR="00C623DF" w:rsidRPr="001E192F">
        <w:rPr>
          <w:szCs w:val="24"/>
        </w:rPr>
        <w:t xml:space="preserve">of alphas </w:t>
      </w:r>
      <w:r w:rsidR="00672657" w:rsidRPr="001E192F">
        <w:rPr>
          <w:szCs w:val="24"/>
        </w:rPr>
        <w:t>in Table 2 is enormous</w:t>
      </w:r>
      <w:r w:rsidR="00C623DF" w:rsidRPr="001E192F">
        <w:rPr>
          <w:szCs w:val="24"/>
        </w:rPr>
        <w:t>,</w:t>
      </w:r>
      <w:r w:rsidR="00672657" w:rsidRPr="001E192F">
        <w:rPr>
          <w:szCs w:val="24"/>
        </w:rPr>
        <w:t xml:space="preserve"> </w:t>
      </w:r>
      <w:r w:rsidR="007702B6" w:rsidRPr="001E192F">
        <w:rPr>
          <w:szCs w:val="24"/>
        </w:rPr>
        <w:t xml:space="preserve">but </w:t>
      </w:r>
      <w:r w:rsidR="0073657F" w:rsidRPr="001E192F">
        <w:rPr>
          <w:szCs w:val="24"/>
        </w:rPr>
        <w:t>there is no range in inferences</w:t>
      </w:r>
      <w:r w:rsidR="007702B6" w:rsidRPr="001E192F">
        <w:rPr>
          <w:szCs w:val="24"/>
        </w:rPr>
        <w:t xml:space="preserve"> as they are all significantly negative</w:t>
      </w:r>
      <w:r w:rsidR="008A6015" w:rsidRPr="001E192F">
        <w:rPr>
          <w:szCs w:val="24"/>
        </w:rPr>
        <w:t>.</w:t>
      </w:r>
      <w:r w:rsidR="007702B6" w:rsidRPr="001E192F">
        <w:rPr>
          <w:szCs w:val="24"/>
        </w:rPr>
        <w:t xml:space="preserve"> </w:t>
      </w:r>
      <w:r w:rsidR="00516954" w:rsidRPr="001E192F">
        <w:rPr>
          <w:szCs w:val="24"/>
        </w:rPr>
        <w:t xml:space="preserve">As such, by the strict definition of robust (the opposite of fragile) from </w:t>
      </w:r>
      <w:proofErr w:type="spellStart"/>
      <w:r w:rsidR="00516954" w:rsidRPr="001E192F">
        <w:rPr>
          <w:szCs w:val="24"/>
        </w:rPr>
        <w:t>Leamer</w:t>
      </w:r>
      <w:proofErr w:type="spellEnd"/>
      <w:r w:rsidR="00516954" w:rsidRPr="001E192F">
        <w:rPr>
          <w:szCs w:val="24"/>
        </w:rPr>
        <w:t xml:space="preserve"> and Leonard (1983)</w:t>
      </w:r>
      <w:r w:rsidR="005A2200" w:rsidRPr="001E192F">
        <w:rPr>
          <w:szCs w:val="24"/>
        </w:rPr>
        <w:t>,</w:t>
      </w:r>
      <w:r w:rsidR="00516954" w:rsidRPr="001E192F">
        <w:rPr>
          <w:szCs w:val="24"/>
        </w:rPr>
        <w:t xml:space="preserve"> these alphas are robust.</w:t>
      </w:r>
    </w:p>
    <w:p w14:paraId="7CFF706F" w14:textId="77777777" w:rsidR="008A4FC3" w:rsidRPr="001E192F" w:rsidRDefault="008A4FC3" w:rsidP="009A2C29">
      <w:pPr>
        <w:spacing w:after="0" w:line="360" w:lineRule="auto"/>
        <w:rPr>
          <w:szCs w:val="24"/>
        </w:rPr>
      </w:pPr>
    </w:p>
    <w:p w14:paraId="6932E0FA" w14:textId="720BD130" w:rsidR="00D12CDA" w:rsidRPr="00FB0037" w:rsidRDefault="00FB0037" w:rsidP="009A2C29">
      <w:pPr>
        <w:pStyle w:val="Subtitle"/>
        <w:spacing w:line="360" w:lineRule="auto"/>
        <w:ind w:firstLine="0"/>
        <w:rPr>
          <w:rFonts w:cs="Times New Roman"/>
          <w:b/>
          <w:i w:val="0"/>
          <w:szCs w:val="24"/>
        </w:rPr>
      </w:pPr>
      <w:proofErr w:type="gramStart"/>
      <w:r w:rsidRPr="00FB0037">
        <w:rPr>
          <w:rFonts w:cs="Times New Roman"/>
          <w:b/>
          <w:i w:val="0"/>
          <w:szCs w:val="24"/>
        </w:rPr>
        <w:t xml:space="preserve">5.2  </w:t>
      </w:r>
      <w:r w:rsidR="00D12CDA" w:rsidRPr="00FB0037">
        <w:rPr>
          <w:rFonts w:cs="Times New Roman"/>
          <w:b/>
          <w:i w:val="0"/>
          <w:szCs w:val="24"/>
        </w:rPr>
        <w:t>The</w:t>
      </w:r>
      <w:proofErr w:type="gramEnd"/>
      <w:r w:rsidR="00D12CDA" w:rsidRPr="00FB0037">
        <w:rPr>
          <w:rFonts w:cs="Times New Roman"/>
          <w:b/>
          <w:i w:val="0"/>
          <w:szCs w:val="24"/>
        </w:rPr>
        <w:t xml:space="preserve"> effect of alternative empirical designs on equal-weighted portfolios</w:t>
      </w:r>
    </w:p>
    <w:p w14:paraId="6E472458" w14:textId="7F1C5E71" w:rsidR="002C6D0C" w:rsidRPr="001E192F" w:rsidRDefault="00A401A9" w:rsidP="009A2C29">
      <w:pPr>
        <w:spacing w:after="0" w:line="360" w:lineRule="auto"/>
        <w:rPr>
          <w:szCs w:val="24"/>
        </w:rPr>
      </w:pPr>
      <w:r w:rsidRPr="001E192F">
        <w:rPr>
          <w:szCs w:val="24"/>
        </w:rPr>
        <w:t xml:space="preserve">Table 3 </w:t>
      </w:r>
      <w:r w:rsidR="007E4608" w:rsidRPr="001E192F">
        <w:rPr>
          <w:szCs w:val="24"/>
        </w:rPr>
        <w:t>present</w:t>
      </w:r>
      <w:r w:rsidRPr="001E192F">
        <w:rPr>
          <w:szCs w:val="24"/>
        </w:rPr>
        <w:t>s</w:t>
      </w:r>
      <w:r w:rsidR="00D12CDA" w:rsidRPr="001E192F">
        <w:rPr>
          <w:szCs w:val="24"/>
        </w:rPr>
        <w:t xml:space="preserve"> the </w:t>
      </w:r>
      <w:r w:rsidRPr="001E192F">
        <w:rPr>
          <w:szCs w:val="24"/>
        </w:rPr>
        <w:t xml:space="preserve">same </w:t>
      </w:r>
      <w:r w:rsidR="00D12CDA" w:rsidRPr="001E192F">
        <w:rPr>
          <w:szCs w:val="24"/>
        </w:rPr>
        <w:t>regr</w:t>
      </w:r>
      <w:r w:rsidRPr="001E192F">
        <w:rPr>
          <w:szCs w:val="24"/>
        </w:rPr>
        <w:t>essions shown in</w:t>
      </w:r>
      <w:r w:rsidR="00530EBF" w:rsidRPr="001E192F">
        <w:rPr>
          <w:szCs w:val="24"/>
        </w:rPr>
        <w:t xml:space="preserve"> Table 2</w:t>
      </w:r>
      <w:r w:rsidRPr="001E192F">
        <w:rPr>
          <w:szCs w:val="24"/>
        </w:rPr>
        <w:t>, but for</w:t>
      </w:r>
      <w:r w:rsidR="00341DCA" w:rsidRPr="001E192F">
        <w:rPr>
          <w:szCs w:val="24"/>
        </w:rPr>
        <w:t xml:space="preserve"> </w:t>
      </w:r>
      <w:r w:rsidR="00D12CDA" w:rsidRPr="001E192F">
        <w:rPr>
          <w:szCs w:val="24"/>
        </w:rPr>
        <w:t>equal-weighted portfolios</w:t>
      </w:r>
      <w:r w:rsidR="00530EBF" w:rsidRPr="001E192F">
        <w:rPr>
          <w:szCs w:val="24"/>
        </w:rPr>
        <w:t xml:space="preserve"> rather than value-weighted portfolios</w:t>
      </w:r>
      <w:r w:rsidR="00993792" w:rsidRPr="001E192F">
        <w:rPr>
          <w:szCs w:val="24"/>
        </w:rPr>
        <w:t xml:space="preserve">.  </w:t>
      </w:r>
      <w:r w:rsidR="00B41D9A" w:rsidRPr="001E192F">
        <w:rPr>
          <w:szCs w:val="24"/>
        </w:rPr>
        <w:t>Equal-weighted portfolios are more diversified than value-weighted portfolios, and they are immune to some biases that affect value-weighted portfolios</w:t>
      </w:r>
      <w:r w:rsidR="005C5062" w:rsidRPr="001E192F">
        <w:rPr>
          <w:szCs w:val="24"/>
        </w:rPr>
        <w:t xml:space="preserve"> (see</w:t>
      </w:r>
      <w:r w:rsidR="00B41D9A" w:rsidRPr="001E192F">
        <w:rPr>
          <w:szCs w:val="24"/>
        </w:rPr>
        <w:t xml:space="preserve"> Huang</w:t>
      </w:r>
      <w:r w:rsidR="005A2200" w:rsidRPr="001E192F">
        <w:rPr>
          <w:szCs w:val="24"/>
        </w:rPr>
        <w:t xml:space="preserve"> et al.</w:t>
      </w:r>
      <w:r w:rsidR="00B41D9A" w:rsidRPr="001E192F">
        <w:rPr>
          <w:szCs w:val="24"/>
        </w:rPr>
        <w:t xml:space="preserve"> 2010)</w:t>
      </w:r>
      <w:r w:rsidR="00993792" w:rsidRPr="001E192F">
        <w:rPr>
          <w:szCs w:val="24"/>
        </w:rPr>
        <w:t xml:space="preserve">.  </w:t>
      </w:r>
      <w:r w:rsidR="00530EBF" w:rsidRPr="001E192F">
        <w:rPr>
          <w:szCs w:val="24"/>
        </w:rPr>
        <w:t>A</w:t>
      </w:r>
      <w:r w:rsidR="00D12CDA" w:rsidRPr="001E192F">
        <w:rPr>
          <w:szCs w:val="24"/>
        </w:rPr>
        <w:t>lpha</w:t>
      </w:r>
      <w:r w:rsidR="00530EBF" w:rsidRPr="001E192F">
        <w:rPr>
          <w:szCs w:val="24"/>
        </w:rPr>
        <w:t>s from</w:t>
      </w:r>
      <w:r w:rsidR="00D12CDA" w:rsidRPr="001E192F">
        <w:rPr>
          <w:szCs w:val="24"/>
        </w:rPr>
        <w:t xml:space="preserve"> equal-weighted</w:t>
      </w:r>
      <w:r w:rsidR="00530EBF" w:rsidRPr="001E192F">
        <w:rPr>
          <w:szCs w:val="24"/>
        </w:rPr>
        <w:t>,</w:t>
      </w:r>
      <w:r w:rsidR="00D12CDA" w:rsidRPr="001E192F">
        <w:rPr>
          <w:szCs w:val="24"/>
        </w:rPr>
        <w:t xml:space="preserve"> zero-investment portfolio</w:t>
      </w:r>
      <w:r w:rsidR="00530EBF" w:rsidRPr="001E192F">
        <w:rPr>
          <w:szCs w:val="24"/>
        </w:rPr>
        <w:t>s</w:t>
      </w:r>
      <w:r w:rsidR="00DA0A70" w:rsidRPr="001E192F">
        <w:rPr>
          <w:szCs w:val="24"/>
        </w:rPr>
        <w:t xml:space="preserve"> </w:t>
      </w:r>
      <w:r w:rsidR="00530EBF" w:rsidRPr="001E192F">
        <w:rPr>
          <w:szCs w:val="24"/>
        </w:rPr>
        <w:t>represent</w:t>
      </w:r>
      <w:r w:rsidR="00D12CDA" w:rsidRPr="001E192F">
        <w:rPr>
          <w:szCs w:val="24"/>
        </w:rPr>
        <w:t xml:space="preserve"> risk-adjusted return</w:t>
      </w:r>
      <w:r w:rsidR="00530EBF" w:rsidRPr="001E192F">
        <w:rPr>
          <w:szCs w:val="24"/>
        </w:rPr>
        <w:t xml:space="preserve">s of </w:t>
      </w:r>
      <w:r w:rsidR="00F204E7" w:rsidRPr="001E192F">
        <w:rPr>
          <w:szCs w:val="24"/>
        </w:rPr>
        <w:t>the average</w:t>
      </w:r>
      <w:r w:rsidR="00D12CDA" w:rsidRPr="001E192F">
        <w:rPr>
          <w:szCs w:val="24"/>
        </w:rPr>
        <w:t xml:space="preserve"> high volatility stock in excess of the risk-adjusted return</w:t>
      </w:r>
      <w:r w:rsidR="00DA0A70" w:rsidRPr="001E192F">
        <w:rPr>
          <w:szCs w:val="24"/>
        </w:rPr>
        <w:t>s of</w:t>
      </w:r>
      <w:r w:rsidR="00D12CDA" w:rsidRPr="001E192F">
        <w:rPr>
          <w:szCs w:val="24"/>
        </w:rPr>
        <w:t xml:space="preserve"> </w:t>
      </w:r>
      <w:r w:rsidR="00F204E7" w:rsidRPr="001E192F">
        <w:rPr>
          <w:szCs w:val="24"/>
        </w:rPr>
        <w:t>the average</w:t>
      </w:r>
      <w:r w:rsidR="00D12CDA" w:rsidRPr="001E192F">
        <w:rPr>
          <w:szCs w:val="24"/>
        </w:rPr>
        <w:t xml:space="preserve"> low volatility stock</w:t>
      </w:r>
      <w:r w:rsidR="00993792" w:rsidRPr="001E192F">
        <w:rPr>
          <w:szCs w:val="24"/>
        </w:rPr>
        <w:t xml:space="preserve">.  </w:t>
      </w:r>
      <w:r w:rsidR="00B41D9A" w:rsidRPr="001E192F">
        <w:rPr>
          <w:szCs w:val="24"/>
        </w:rPr>
        <w:t xml:space="preserve">Whether to report equal-weighted portfolio alphas in </w:t>
      </w:r>
      <w:r w:rsidR="00B41D9A" w:rsidRPr="001E192F">
        <w:rPr>
          <w:szCs w:val="24"/>
        </w:rPr>
        <w:lastRenderedPageBreak/>
        <w:t>addition to value-weighted portfolio alphas</w:t>
      </w:r>
      <w:r w:rsidR="002A4FEF" w:rsidRPr="001E192F">
        <w:rPr>
          <w:szCs w:val="24"/>
        </w:rPr>
        <w:t xml:space="preserve"> is an important de</w:t>
      </w:r>
      <w:r w:rsidR="00B41D9A" w:rsidRPr="001E192F">
        <w:rPr>
          <w:szCs w:val="24"/>
        </w:rPr>
        <w:t>cision</w:t>
      </w:r>
      <w:r w:rsidR="00DA0A70" w:rsidRPr="001E192F">
        <w:rPr>
          <w:szCs w:val="24"/>
        </w:rPr>
        <w:t xml:space="preserve"> that test</w:t>
      </w:r>
      <w:r w:rsidR="00D12CDA" w:rsidRPr="001E192F">
        <w:rPr>
          <w:szCs w:val="24"/>
        </w:rPr>
        <w:t xml:space="preserve"> designer</w:t>
      </w:r>
      <w:r w:rsidR="000A4AF4" w:rsidRPr="001E192F">
        <w:rPr>
          <w:szCs w:val="24"/>
        </w:rPr>
        <w:t>s should consider.</w:t>
      </w:r>
    </w:p>
    <w:p w14:paraId="060A946E" w14:textId="20400C65" w:rsidR="00D12CDA" w:rsidRPr="001E192F" w:rsidRDefault="00D12CDA" w:rsidP="009A2C29">
      <w:pPr>
        <w:spacing w:after="0" w:line="360" w:lineRule="auto"/>
        <w:rPr>
          <w:szCs w:val="24"/>
        </w:rPr>
      </w:pPr>
      <w:r w:rsidRPr="001E192F">
        <w:rPr>
          <w:szCs w:val="24"/>
        </w:rPr>
        <w:t xml:space="preserve">In Table 3, we report </w:t>
      </w:r>
      <w:r w:rsidR="00404F34" w:rsidRPr="001E192F">
        <w:rPr>
          <w:szCs w:val="24"/>
        </w:rPr>
        <w:t xml:space="preserve">the benchmark results for </w:t>
      </w:r>
      <w:r w:rsidR="00537FDB" w:rsidRPr="001E192F">
        <w:rPr>
          <w:szCs w:val="24"/>
        </w:rPr>
        <w:t>equal</w:t>
      </w:r>
      <w:r w:rsidRPr="001E192F">
        <w:rPr>
          <w:szCs w:val="24"/>
        </w:rPr>
        <w:t>-weighted</w:t>
      </w:r>
      <w:r w:rsidR="002A4FEF" w:rsidRPr="001E192F">
        <w:rPr>
          <w:szCs w:val="24"/>
        </w:rPr>
        <w:t xml:space="preserve"> </w:t>
      </w:r>
      <w:r w:rsidR="00404F34" w:rsidRPr="001E192F">
        <w:rPr>
          <w:szCs w:val="24"/>
        </w:rPr>
        <w:t>portfolios</w:t>
      </w:r>
      <w:r w:rsidRPr="001E192F">
        <w:rPr>
          <w:szCs w:val="24"/>
        </w:rPr>
        <w:t xml:space="preserve"> in the</w:t>
      </w:r>
      <w:r w:rsidR="00537FDB" w:rsidRPr="001E192F">
        <w:rPr>
          <w:szCs w:val="24"/>
        </w:rPr>
        <w:t xml:space="preserve"> first</w:t>
      </w:r>
      <w:r w:rsidRPr="001E192F">
        <w:rPr>
          <w:szCs w:val="24"/>
        </w:rPr>
        <w:t xml:space="preserve"> row.</w:t>
      </w:r>
      <w:r w:rsidR="00DA0A70" w:rsidRPr="001E192F">
        <w:rPr>
          <w:szCs w:val="24"/>
        </w:rPr>
        <w:t xml:space="preserve"> For the remaining rows, we present</w:t>
      </w:r>
      <w:r w:rsidRPr="001E192F">
        <w:rPr>
          <w:szCs w:val="24"/>
        </w:rPr>
        <w:t xml:space="preserve"> the alterna</w:t>
      </w:r>
      <w:r w:rsidR="002A36D5" w:rsidRPr="001E192F">
        <w:rPr>
          <w:szCs w:val="24"/>
        </w:rPr>
        <w:t>tive methodological choices using</w:t>
      </w:r>
      <w:r w:rsidRPr="001E192F">
        <w:rPr>
          <w:szCs w:val="24"/>
        </w:rPr>
        <w:t xml:space="preserve"> equa</w:t>
      </w:r>
      <w:r w:rsidR="00DA0A70" w:rsidRPr="001E192F">
        <w:rPr>
          <w:szCs w:val="24"/>
        </w:rPr>
        <w:t>l-weighted portfolios</w:t>
      </w:r>
      <w:r w:rsidR="00993792" w:rsidRPr="001E192F">
        <w:rPr>
          <w:szCs w:val="24"/>
        </w:rPr>
        <w:t xml:space="preserve">.  </w:t>
      </w:r>
      <w:r w:rsidR="00DA0A70" w:rsidRPr="001E192F">
        <w:rPr>
          <w:szCs w:val="24"/>
        </w:rPr>
        <w:t>C</w:t>
      </w:r>
      <w:r w:rsidRPr="001E192F">
        <w:rPr>
          <w:szCs w:val="24"/>
        </w:rPr>
        <w:t xml:space="preserve">onsistent with Bali and </w:t>
      </w:r>
      <w:proofErr w:type="spellStart"/>
      <w:r w:rsidRPr="001E192F">
        <w:rPr>
          <w:szCs w:val="24"/>
        </w:rPr>
        <w:t>Cakici</w:t>
      </w:r>
      <w:proofErr w:type="spellEnd"/>
      <w:r w:rsidRPr="001E192F">
        <w:rPr>
          <w:szCs w:val="24"/>
        </w:rPr>
        <w:t xml:space="preserve"> (2008), </w:t>
      </w:r>
      <w:r w:rsidR="00DA0A70" w:rsidRPr="001E192F">
        <w:rPr>
          <w:szCs w:val="24"/>
        </w:rPr>
        <w:t xml:space="preserve">we find </w:t>
      </w:r>
      <w:r w:rsidRPr="001E192F">
        <w:rPr>
          <w:szCs w:val="24"/>
        </w:rPr>
        <w:t>that equal</w:t>
      </w:r>
      <w:r w:rsidR="00537FDB" w:rsidRPr="001E192F">
        <w:rPr>
          <w:szCs w:val="24"/>
        </w:rPr>
        <w:t xml:space="preserve">ly </w:t>
      </w:r>
      <w:r w:rsidRPr="001E192F">
        <w:rPr>
          <w:szCs w:val="24"/>
        </w:rPr>
        <w:t>wei</w:t>
      </w:r>
      <w:r w:rsidR="00404F34" w:rsidRPr="001E192F">
        <w:rPr>
          <w:szCs w:val="24"/>
        </w:rPr>
        <w:t>ghting the portfolios causes</w:t>
      </w:r>
      <w:r w:rsidRPr="001E192F">
        <w:rPr>
          <w:szCs w:val="24"/>
        </w:rPr>
        <w:t xml:space="preserve"> estimated alphas to rise</w:t>
      </w:r>
      <w:r w:rsidR="001328E0" w:rsidRPr="001E192F">
        <w:rPr>
          <w:szCs w:val="24"/>
        </w:rPr>
        <w:t xml:space="preserve"> toward zero</w:t>
      </w:r>
      <w:r w:rsidR="00993792" w:rsidRPr="001E192F">
        <w:rPr>
          <w:szCs w:val="24"/>
        </w:rPr>
        <w:t xml:space="preserve">.  </w:t>
      </w:r>
      <w:r w:rsidRPr="001E192F">
        <w:rPr>
          <w:szCs w:val="24"/>
        </w:rPr>
        <w:t>The benchmark method</w:t>
      </w:r>
      <w:r w:rsidR="00537FDB" w:rsidRPr="001E192F">
        <w:rPr>
          <w:szCs w:val="24"/>
        </w:rPr>
        <w:t xml:space="preserve"> using</w:t>
      </w:r>
      <w:r w:rsidRPr="001E192F">
        <w:rPr>
          <w:szCs w:val="24"/>
        </w:rPr>
        <w:t xml:space="preserve"> equal-weighted portfolios has an alpha of -0.3</w:t>
      </w:r>
      <w:r w:rsidR="000C6EF9" w:rsidRPr="001E192F">
        <w:rPr>
          <w:szCs w:val="24"/>
        </w:rPr>
        <w:t>58</w:t>
      </w:r>
      <w:r w:rsidRPr="001E192F">
        <w:rPr>
          <w:szCs w:val="24"/>
        </w:rPr>
        <w:t>%</w:t>
      </w:r>
      <w:r w:rsidR="00993792" w:rsidRPr="001E192F">
        <w:rPr>
          <w:szCs w:val="24"/>
        </w:rPr>
        <w:t xml:space="preserve">.  </w:t>
      </w:r>
      <w:r w:rsidRPr="001E192F">
        <w:rPr>
          <w:szCs w:val="24"/>
        </w:rPr>
        <w:t xml:space="preserve">This </w:t>
      </w:r>
      <w:r w:rsidR="00537FDB" w:rsidRPr="001E192F">
        <w:rPr>
          <w:szCs w:val="24"/>
        </w:rPr>
        <w:t xml:space="preserve">alpha </w:t>
      </w:r>
      <w:r w:rsidRPr="001E192F">
        <w:rPr>
          <w:szCs w:val="24"/>
        </w:rPr>
        <w:t>is economically significant, corresponding to a compound annual return of</w:t>
      </w:r>
      <w:r w:rsidR="000C6EF9" w:rsidRPr="001E192F">
        <w:rPr>
          <w:szCs w:val="24"/>
        </w:rPr>
        <w:t xml:space="preserve"> </w:t>
      </w:r>
      <w:r w:rsidR="000C6EF9" w:rsidRPr="001E192F">
        <w:rPr>
          <w:szCs w:val="24"/>
        </w:rPr>
        <w:noBreakHyphen/>
        <w:t>4.2</w:t>
      </w:r>
      <w:r w:rsidR="00537FDB" w:rsidRPr="001E192F">
        <w:rPr>
          <w:szCs w:val="24"/>
        </w:rPr>
        <w:t>1</w:t>
      </w:r>
      <w:r w:rsidR="000C6EF9" w:rsidRPr="001E192F">
        <w:rPr>
          <w:szCs w:val="24"/>
        </w:rPr>
        <w:t>%,</w:t>
      </w:r>
      <w:r w:rsidRPr="001E192F">
        <w:rPr>
          <w:szCs w:val="24"/>
        </w:rPr>
        <w:t xml:space="preserve"> but much lower in magnitude than the -1</w:t>
      </w:r>
      <w:r w:rsidR="000C6EF9" w:rsidRPr="001E192F">
        <w:rPr>
          <w:szCs w:val="24"/>
        </w:rPr>
        <w:t>5.28</w:t>
      </w:r>
      <w:r w:rsidRPr="001E192F">
        <w:rPr>
          <w:szCs w:val="24"/>
        </w:rPr>
        <w:t>% compound annual return from the value-weighted portfolio</w:t>
      </w:r>
      <w:r w:rsidR="00993792" w:rsidRPr="001E192F">
        <w:rPr>
          <w:szCs w:val="24"/>
        </w:rPr>
        <w:t xml:space="preserve">.  </w:t>
      </w:r>
      <w:r w:rsidR="000C6EF9" w:rsidRPr="001E192F">
        <w:rPr>
          <w:szCs w:val="24"/>
        </w:rPr>
        <w:t>Again,</w:t>
      </w:r>
      <w:r w:rsidR="005C5062" w:rsidRPr="001E192F">
        <w:rPr>
          <w:szCs w:val="24"/>
        </w:rPr>
        <w:t xml:space="preserve"> the dramatic in</w:t>
      </w:r>
      <w:r w:rsidR="000C6EF9" w:rsidRPr="001E192F">
        <w:rPr>
          <w:szCs w:val="24"/>
        </w:rPr>
        <w:t xml:space="preserve">crease in </w:t>
      </w:r>
      <w:r w:rsidR="005C5062" w:rsidRPr="001E192F">
        <w:rPr>
          <w:szCs w:val="24"/>
        </w:rPr>
        <w:t xml:space="preserve">the </w:t>
      </w:r>
      <w:r w:rsidR="000C6EF9" w:rsidRPr="001E192F">
        <w:rPr>
          <w:szCs w:val="24"/>
        </w:rPr>
        <w:t xml:space="preserve">magnitude of the alpha </w:t>
      </w:r>
      <w:r w:rsidR="00960A12" w:rsidRPr="001E192F">
        <w:rPr>
          <w:szCs w:val="24"/>
        </w:rPr>
        <w:t xml:space="preserve">implies </w:t>
      </w:r>
      <w:r w:rsidR="000C6EF9" w:rsidRPr="001E192F">
        <w:rPr>
          <w:szCs w:val="24"/>
        </w:rPr>
        <w:t>that the results</w:t>
      </w:r>
      <w:r w:rsidR="005A2200" w:rsidRPr="001E192F">
        <w:rPr>
          <w:szCs w:val="24"/>
        </w:rPr>
        <w:t xml:space="preserve"> may be fragile</w:t>
      </w:r>
      <w:r w:rsidR="005C5062" w:rsidRPr="001E192F">
        <w:rPr>
          <w:szCs w:val="24"/>
        </w:rPr>
        <w:t xml:space="preserve">. </w:t>
      </w:r>
      <w:r w:rsidR="001E192F">
        <w:rPr>
          <w:szCs w:val="24"/>
        </w:rPr>
        <w:t xml:space="preserve"> </w:t>
      </w:r>
      <w:r w:rsidR="005C5062" w:rsidRPr="001E192F">
        <w:rPr>
          <w:szCs w:val="24"/>
        </w:rPr>
        <w:t>However</w:t>
      </w:r>
      <w:r w:rsidR="00AE2C13" w:rsidRPr="001E192F">
        <w:rPr>
          <w:szCs w:val="24"/>
        </w:rPr>
        <w:t>, since the alpha is still statistically significant at the 1</w:t>
      </w:r>
      <w:r w:rsidR="005C5062" w:rsidRPr="001E192F">
        <w:rPr>
          <w:szCs w:val="24"/>
        </w:rPr>
        <w:t>0% level, we should conclude, according to</w:t>
      </w:r>
      <w:r w:rsidR="00AE2C13" w:rsidRPr="001E192F">
        <w:rPr>
          <w:szCs w:val="24"/>
        </w:rPr>
        <w:t xml:space="preserve"> </w:t>
      </w:r>
      <w:proofErr w:type="spellStart"/>
      <w:r w:rsidR="00AE2C13" w:rsidRPr="001E192F">
        <w:rPr>
          <w:szCs w:val="24"/>
        </w:rPr>
        <w:t>Leamer</w:t>
      </w:r>
      <w:proofErr w:type="spellEnd"/>
      <w:r w:rsidR="00AE2C13" w:rsidRPr="001E192F">
        <w:rPr>
          <w:szCs w:val="24"/>
        </w:rPr>
        <w:t xml:space="preserve"> and Leonard (1983)</w:t>
      </w:r>
      <w:r w:rsidR="005C5062" w:rsidRPr="001E192F">
        <w:rPr>
          <w:szCs w:val="24"/>
        </w:rPr>
        <w:t>,</w:t>
      </w:r>
      <w:r w:rsidR="00AE2C13" w:rsidRPr="001E192F">
        <w:rPr>
          <w:szCs w:val="24"/>
        </w:rPr>
        <w:t xml:space="preserve"> that the results are robust.</w:t>
      </w:r>
    </w:p>
    <w:p w14:paraId="5EECEC77" w14:textId="720492E6" w:rsidR="00D12CDA" w:rsidRPr="001E192F" w:rsidRDefault="00272814" w:rsidP="009A2C29">
      <w:pPr>
        <w:spacing w:after="0" w:line="360" w:lineRule="auto"/>
        <w:rPr>
          <w:szCs w:val="24"/>
        </w:rPr>
      </w:pPr>
      <w:r w:rsidRPr="001E192F">
        <w:rPr>
          <w:szCs w:val="24"/>
        </w:rPr>
        <w:t xml:space="preserve">For every </w:t>
      </w:r>
      <w:r w:rsidR="00E4378E" w:rsidRPr="001E192F">
        <w:rPr>
          <w:szCs w:val="24"/>
        </w:rPr>
        <w:t>e</w:t>
      </w:r>
      <w:bookmarkStart w:id="0" w:name="_GoBack"/>
      <w:bookmarkEnd w:id="0"/>
      <w:r w:rsidR="00E4378E" w:rsidRPr="001E192F">
        <w:rPr>
          <w:szCs w:val="24"/>
        </w:rPr>
        <w:t>mpirical</w:t>
      </w:r>
      <w:r w:rsidRPr="001E192F">
        <w:rPr>
          <w:szCs w:val="24"/>
        </w:rPr>
        <w:t xml:space="preserve"> design, alphas for equal-weighted portfolios are higher than for their value-weighted counterparts</w:t>
      </w:r>
      <w:r w:rsidR="00993792" w:rsidRPr="001E192F">
        <w:rPr>
          <w:szCs w:val="24"/>
        </w:rPr>
        <w:t xml:space="preserve">.  </w:t>
      </w:r>
      <w:r w:rsidRPr="001E192F">
        <w:rPr>
          <w:szCs w:val="24"/>
        </w:rPr>
        <w:t xml:space="preserve">Again, the January indicator design produced the lowest </w:t>
      </w:r>
      <w:r w:rsidRPr="001E192F">
        <w:rPr>
          <w:i/>
          <w:szCs w:val="24"/>
        </w:rPr>
        <w:t>H-L</w:t>
      </w:r>
      <w:r w:rsidRPr="001E192F">
        <w:rPr>
          <w:szCs w:val="24"/>
        </w:rPr>
        <w:t xml:space="preserve"> portfolio alpha, but it </w:t>
      </w:r>
      <w:r w:rsidR="00EE1D30" w:rsidRPr="001E192F">
        <w:rPr>
          <w:szCs w:val="24"/>
        </w:rPr>
        <w:t>is about 0.6% greater than the analogous value-weighted portfolio</w:t>
      </w:r>
      <w:r w:rsidR="00537FDB" w:rsidRPr="001E192F">
        <w:rPr>
          <w:szCs w:val="24"/>
        </w:rPr>
        <w:t xml:space="preserve"> alpha</w:t>
      </w:r>
      <w:r w:rsidR="00993792" w:rsidRPr="001E192F">
        <w:rPr>
          <w:szCs w:val="24"/>
        </w:rPr>
        <w:t xml:space="preserve">.  </w:t>
      </w:r>
      <w:r w:rsidR="00C03E87" w:rsidRPr="001E192F">
        <w:rPr>
          <w:szCs w:val="24"/>
        </w:rPr>
        <w:t>T</w:t>
      </w:r>
      <w:r w:rsidR="00EE1D30" w:rsidRPr="001E192F">
        <w:rPr>
          <w:szCs w:val="24"/>
        </w:rPr>
        <w:t>wo</w:t>
      </w:r>
      <w:r w:rsidR="00C03E87" w:rsidRPr="001E192F">
        <w:rPr>
          <w:szCs w:val="24"/>
        </w:rPr>
        <w:t xml:space="preserve"> of the designs</w:t>
      </w:r>
      <w:r w:rsidR="00537FDB" w:rsidRPr="001E192F">
        <w:rPr>
          <w:szCs w:val="24"/>
        </w:rPr>
        <w:t xml:space="preserve"> – </w:t>
      </w:r>
      <w:r w:rsidR="00EE1D30" w:rsidRPr="001E192F">
        <w:rPr>
          <w:szCs w:val="24"/>
        </w:rPr>
        <w:t>adding the</w:t>
      </w:r>
      <w:r w:rsidR="00C03E87" w:rsidRPr="001E192F">
        <w:rPr>
          <w:szCs w:val="24"/>
        </w:rPr>
        <w:t xml:space="preserve"> momentum factor and </w:t>
      </w:r>
      <w:r w:rsidR="00EE1D30" w:rsidRPr="001E192F">
        <w:rPr>
          <w:szCs w:val="24"/>
        </w:rPr>
        <w:t xml:space="preserve">using </w:t>
      </w:r>
      <w:r w:rsidR="00C03E87" w:rsidRPr="001E192F">
        <w:rPr>
          <w:szCs w:val="24"/>
        </w:rPr>
        <w:t xml:space="preserve">the </w:t>
      </w:r>
      <w:proofErr w:type="spellStart"/>
      <w:r w:rsidR="00C03E87" w:rsidRPr="001E192F">
        <w:rPr>
          <w:szCs w:val="24"/>
        </w:rPr>
        <w:t>Fama</w:t>
      </w:r>
      <w:proofErr w:type="spellEnd"/>
      <w:r w:rsidR="00C03E87" w:rsidRPr="001E192F">
        <w:rPr>
          <w:szCs w:val="24"/>
        </w:rPr>
        <w:t xml:space="preserve"> and French five-factor model</w:t>
      </w:r>
      <w:r w:rsidR="00537FDB" w:rsidRPr="001E192F">
        <w:rPr>
          <w:szCs w:val="24"/>
        </w:rPr>
        <w:t xml:space="preserve"> – </w:t>
      </w:r>
      <w:proofErr w:type="gramStart"/>
      <w:r w:rsidR="00537FDB" w:rsidRPr="001E192F">
        <w:rPr>
          <w:szCs w:val="24"/>
        </w:rPr>
        <w:t>produces</w:t>
      </w:r>
      <w:proofErr w:type="gramEnd"/>
      <w:r w:rsidR="00537FDB" w:rsidRPr="001E192F">
        <w:rPr>
          <w:szCs w:val="24"/>
        </w:rPr>
        <w:t xml:space="preserve"> </w:t>
      </w:r>
      <w:r w:rsidR="00C03E87" w:rsidRPr="001E192F">
        <w:rPr>
          <w:szCs w:val="24"/>
        </w:rPr>
        <w:t>portfolio alphas not significantly different from zero</w:t>
      </w:r>
      <w:r w:rsidR="00993792" w:rsidRPr="001E192F">
        <w:rPr>
          <w:szCs w:val="24"/>
        </w:rPr>
        <w:t xml:space="preserve">.  </w:t>
      </w:r>
      <w:r w:rsidR="00C03E87" w:rsidRPr="001E192F">
        <w:rPr>
          <w:szCs w:val="24"/>
        </w:rPr>
        <w:t xml:space="preserve">The five-factor model even </w:t>
      </w:r>
      <w:r w:rsidR="00537FDB" w:rsidRPr="001E192F">
        <w:rPr>
          <w:szCs w:val="24"/>
        </w:rPr>
        <w:t xml:space="preserve">produces </w:t>
      </w:r>
      <w:r w:rsidR="00C03E87" w:rsidRPr="001E192F">
        <w:rPr>
          <w:szCs w:val="24"/>
        </w:rPr>
        <w:t xml:space="preserve">a positive </w:t>
      </w:r>
      <w:r w:rsidR="00C03E87" w:rsidRPr="001E192F">
        <w:rPr>
          <w:i/>
          <w:szCs w:val="24"/>
        </w:rPr>
        <w:t>H</w:t>
      </w:r>
      <w:r w:rsidR="007F650D" w:rsidRPr="001E192F">
        <w:rPr>
          <w:i/>
          <w:szCs w:val="24"/>
        </w:rPr>
        <w:t>-</w:t>
      </w:r>
      <w:r w:rsidR="00C03E87" w:rsidRPr="001E192F">
        <w:rPr>
          <w:i/>
          <w:szCs w:val="24"/>
        </w:rPr>
        <w:t>L</w:t>
      </w:r>
      <w:r w:rsidR="00C03E87" w:rsidRPr="001E192F">
        <w:rPr>
          <w:szCs w:val="24"/>
        </w:rPr>
        <w:t xml:space="preserve"> portfolio alpha.</w:t>
      </w:r>
    </w:p>
    <w:p w14:paraId="19A38FB3" w14:textId="542833F7" w:rsidR="00182AA8" w:rsidRPr="001E192F" w:rsidRDefault="00F076DB" w:rsidP="009A2C29">
      <w:pPr>
        <w:spacing w:after="0" w:line="360" w:lineRule="auto"/>
        <w:rPr>
          <w:szCs w:val="24"/>
        </w:rPr>
      </w:pPr>
      <w:r w:rsidRPr="001E192F">
        <w:rPr>
          <w:szCs w:val="24"/>
        </w:rPr>
        <w:t>With the equal-weighted portfolios, the pricing of idiosyncratic volatility potentially fails to prove robustness.</w:t>
      </w:r>
      <w:r w:rsidR="001E192F">
        <w:rPr>
          <w:szCs w:val="24"/>
        </w:rPr>
        <w:t xml:space="preserve"> </w:t>
      </w:r>
      <w:r w:rsidRPr="001E192F">
        <w:rPr>
          <w:szCs w:val="24"/>
        </w:rPr>
        <w:t xml:space="preserve"> The range of the estimates of the alphas is 0.91% per month (11.5% annualized), which is, again, enormous. </w:t>
      </w:r>
      <w:r w:rsidR="001E192F">
        <w:rPr>
          <w:szCs w:val="24"/>
        </w:rPr>
        <w:t xml:space="preserve"> </w:t>
      </w:r>
      <w:r w:rsidRPr="001E192F">
        <w:rPr>
          <w:szCs w:val="24"/>
        </w:rPr>
        <w:t xml:space="preserve">Further, with the equal-weighted portfolios, our methodological changes yield a range of inferences. </w:t>
      </w:r>
      <w:r w:rsidR="001E192F">
        <w:rPr>
          <w:szCs w:val="24"/>
        </w:rPr>
        <w:t xml:space="preserve"> </w:t>
      </w:r>
      <w:r w:rsidRPr="001E192F">
        <w:rPr>
          <w:szCs w:val="24"/>
        </w:rPr>
        <w:t xml:space="preserve">The alpha estimates from a four-factor model with momentum and the five-factor model yield insignificant alphas. </w:t>
      </w:r>
      <w:r w:rsidR="001E192F">
        <w:rPr>
          <w:szCs w:val="24"/>
        </w:rPr>
        <w:t xml:space="preserve"> </w:t>
      </w:r>
      <w:r w:rsidRPr="001E192F">
        <w:rPr>
          <w:szCs w:val="24"/>
        </w:rPr>
        <w:t xml:space="preserve">We </w:t>
      </w:r>
      <w:r w:rsidR="00024349" w:rsidRPr="001E192F">
        <w:rPr>
          <w:szCs w:val="24"/>
        </w:rPr>
        <w:t xml:space="preserve">now have a range of </w:t>
      </w:r>
      <w:r w:rsidR="005C5062" w:rsidRPr="001E192F">
        <w:rPr>
          <w:szCs w:val="24"/>
        </w:rPr>
        <w:t xml:space="preserve">possible </w:t>
      </w:r>
      <w:r w:rsidR="00024349" w:rsidRPr="001E192F">
        <w:rPr>
          <w:szCs w:val="24"/>
        </w:rPr>
        <w:t>inferences (i.e., the strategy either earns a negative profit or no profit at all) in addition to a wide range of alpha estimates.</w:t>
      </w:r>
    </w:p>
    <w:p w14:paraId="34846B34" w14:textId="77777777" w:rsidR="00F076DB" w:rsidRPr="001E192F" w:rsidRDefault="00F076DB" w:rsidP="009A2C29">
      <w:pPr>
        <w:spacing w:after="0" w:line="360" w:lineRule="auto"/>
        <w:rPr>
          <w:szCs w:val="24"/>
        </w:rPr>
      </w:pPr>
    </w:p>
    <w:p w14:paraId="5DC60BA6" w14:textId="4A65119A" w:rsidR="001328E0" w:rsidRPr="009A2C29" w:rsidRDefault="00FB0037" w:rsidP="009A2C29">
      <w:pPr>
        <w:pStyle w:val="Title"/>
        <w:spacing w:after="0" w:line="360" w:lineRule="auto"/>
        <w:jc w:val="left"/>
        <w:rPr>
          <w:rFonts w:cs="Times New Roman"/>
          <w:szCs w:val="24"/>
        </w:rPr>
      </w:pPr>
      <w:r>
        <w:rPr>
          <w:rFonts w:cs="Times New Roman"/>
          <w:szCs w:val="24"/>
        </w:rPr>
        <w:t xml:space="preserve">6.  </w:t>
      </w:r>
      <w:r w:rsidR="00E0576B" w:rsidRPr="009A2C29">
        <w:rPr>
          <w:rFonts w:cs="Times New Roman"/>
          <w:szCs w:val="24"/>
        </w:rPr>
        <w:t>Discussion and S</w:t>
      </w:r>
      <w:r w:rsidR="001328E0" w:rsidRPr="009A2C29">
        <w:rPr>
          <w:rFonts w:cs="Times New Roman"/>
          <w:szCs w:val="24"/>
        </w:rPr>
        <w:t>ummary</w:t>
      </w:r>
    </w:p>
    <w:p w14:paraId="341FBDD9" w14:textId="2F3D8DC8" w:rsidR="009A6BD8" w:rsidRPr="001E192F" w:rsidRDefault="00477DA9" w:rsidP="009A2C29">
      <w:pPr>
        <w:spacing w:after="0" w:line="360" w:lineRule="auto"/>
        <w:rPr>
          <w:szCs w:val="24"/>
        </w:rPr>
      </w:pPr>
      <w:r w:rsidRPr="001E192F">
        <w:rPr>
          <w:szCs w:val="24"/>
        </w:rPr>
        <w:t xml:space="preserve">We use the idiosyncratic volatility analysis of </w:t>
      </w:r>
      <w:proofErr w:type="spellStart"/>
      <w:r w:rsidRPr="001E192F">
        <w:rPr>
          <w:szCs w:val="24"/>
        </w:rPr>
        <w:t>Ang</w:t>
      </w:r>
      <w:proofErr w:type="spellEnd"/>
      <w:r w:rsidRPr="001E192F">
        <w:rPr>
          <w:szCs w:val="24"/>
        </w:rPr>
        <w:t xml:space="preserve"> et al. (2006) and the empirical results of subsequent studies as the </w:t>
      </w:r>
      <w:r w:rsidR="00960A12" w:rsidRPr="001E192F">
        <w:rPr>
          <w:szCs w:val="24"/>
        </w:rPr>
        <w:t xml:space="preserve">framework </w:t>
      </w:r>
      <w:r w:rsidRPr="001E192F">
        <w:rPr>
          <w:szCs w:val="24"/>
        </w:rPr>
        <w:t xml:space="preserve">of our analysis to determine how using different methodological test designs impact inference.  </w:t>
      </w:r>
      <w:r w:rsidR="00D425F5" w:rsidRPr="001E192F">
        <w:rPr>
          <w:szCs w:val="24"/>
        </w:rPr>
        <w:t xml:space="preserve">Our results indicate </w:t>
      </w:r>
      <w:r w:rsidR="00025401" w:rsidRPr="001E192F">
        <w:rPr>
          <w:szCs w:val="24"/>
        </w:rPr>
        <w:t xml:space="preserve">that a </w:t>
      </w:r>
      <w:r w:rsidR="001328E0" w:rsidRPr="001E192F">
        <w:rPr>
          <w:szCs w:val="24"/>
        </w:rPr>
        <w:t xml:space="preserve">strategy of shorting low </w:t>
      </w:r>
      <w:r w:rsidR="00D425F5" w:rsidRPr="001E192F">
        <w:rPr>
          <w:szCs w:val="24"/>
        </w:rPr>
        <w:t xml:space="preserve">idiosyncratic </w:t>
      </w:r>
      <w:r w:rsidR="001328E0" w:rsidRPr="001E192F">
        <w:rPr>
          <w:szCs w:val="24"/>
        </w:rPr>
        <w:t xml:space="preserve">volatility stocks and purchasing high </w:t>
      </w:r>
      <w:r w:rsidR="00D425F5" w:rsidRPr="001E192F">
        <w:rPr>
          <w:szCs w:val="24"/>
        </w:rPr>
        <w:t xml:space="preserve">idiosyncratic </w:t>
      </w:r>
      <w:r w:rsidR="001328E0" w:rsidRPr="001E192F">
        <w:rPr>
          <w:szCs w:val="24"/>
        </w:rPr>
        <w:t>volatility stocks</w:t>
      </w:r>
      <w:r w:rsidR="00025401" w:rsidRPr="001E192F">
        <w:rPr>
          <w:szCs w:val="24"/>
        </w:rPr>
        <w:t xml:space="preserve"> produces </w:t>
      </w:r>
      <w:r w:rsidR="001328E0" w:rsidRPr="001E192F">
        <w:rPr>
          <w:szCs w:val="24"/>
        </w:rPr>
        <w:t xml:space="preserve">a very </w:t>
      </w:r>
      <w:r w:rsidR="001328E0" w:rsidRPr="001E192F">
        <w:rPr>
          <w:szCs w:val="24"/>
        </w:rPr>
        <w:lastRenderedPageBreak/>
        <w:t>econ</w:t>
      </w:r>
      <w:r w:rsidR="006324FB" w:rsidRPr="001E192F">
        <w:rPr>
          <w:szCs w:val="24"/>
        </w:rPr>
        <w:t>omical</w:t>
      </w:r>
      <w:r w:rsidR="00B14A7E" w:rsidRPr="001E192F">
        <w:rPr>
          <w:szCs w:val="24"/>
        </w:rPr>
        <w:t xml:space="preserve">ly significant dispersion, ranging </w:t>
      </w:r>
      <w:r w:rsidR="001328E0" w:rsidRPr="001E192F">
        <w:rPr>
          <w:szCs w:val="24"/>
        </w:rPr>
        <w:t>from a</w:t>
      </w:r>
      <w:r w:rsidR="00B14A7E" w:rsidRPr="001E192F">
        <w:rPr>
          <w:szCs w:val="24"/>
        </w:rPr>
        <w:t xml:space="preserve"> </w:t>
      </w:r>
      <w:r w:rsidR="00013C57" w:rsidRPr="001E192F">
        <w:rPr>
          <w:szCs w:val="24"/>
        </w:rPr>
        <w:t>risk-adjusted</w:t>
      </w:r>
      <w:r w:rsidR="001328E0" w:rsidRPr="001E192F">
        <w:rPr>
          <w:szCs w:val="24"/>
        </w:rPr>
        <w:t xml:space="preserve"> annual loss of </w:t>
      </w:r>
      <w:r w:rsidR="00B14A7E" w:rsidRPr="001E192F">
        <w:rPr>
          <w:szCs w:val="24"/>
        </w:rPr>
        <w:t>-1</w:t>
      </w:r>
      <w:r w:rsidR="00013C57" w:rsidRPr="001E192F">
        <w:rPr>
          <w:szCs w:val="24"/>
        </w:rPr>
        <w:t>5</w:t>
      </w:r>
      <w:r w:rsidR="00B14A7E" w:rsidRPr="001E192F">
        <w:rPr>
          <w:szCs w:val="24"/>
        </w:rPr>
        <w:t>.</w:t>
      </w:r>
      <w:r w:rsidRPr="001E192F">
        <w:rPr>
          <w:szCs w:val="24"/>
        </w:rPr>
        <w:t>28</w:t>
      </w:r>
      <w:r w:rsidR="001328E0" w:rsidRPr="001E192F">
        <w:rPr>
          <w:szCs w:val="24"/>
        </w:rPr>
        <w:t>% to a</w:t>
      </w:r>
      <w:r w:rsidR="001278EF" w:rsidRPr="001E192F">
        <w:rPr>
          <w:szCs w:val="24"/>
        </w:rPr>
        <w:t xml:space="preserve"> risk-adjusted</w:t>
      </w:r>
      <w:r w:rsidR="001278EF" w:rsidRPr="001E192F">
        <w:rPr>
          <w:color w:val="FF0000"/>
          <w:szCs w:val="24"/>
        </w:rPr>
        <w:t xml:space="preserve"> </w:t>
      </w:r>
      <w:r w:rsidR="00B14A7E" w:rsidRPr="001E192F">
        <w:rPr>
          <w:szCs w:val="24"/>
        </w:rPr>
        <w:t xml:space="preserve">annual profit of </w:t>
      </w:r>
      <w:r w:rsidRPr="001E192F">
        <w:rPr>
          <w:szCs w:val="24"/>
        </w:rPr>
        <w:t>0.53</w:t>
      </w:r>
      <w:r w:rsidR="001328E0" w:rsidRPr="001E192F">
        <w:rPr>
          <w:szCs w:val="24"/>
        </w:rPr>
        <w:t>%</w:t>
      </w:r>
      <w:r w:rsidR="00993792" w:rsidRPr="001E192F">
        <w:rPr>
          <w:szCs w:val="24"/>
        </w:rPr>
        <w:t xml:space="preserve">.  </w:t>
      </w:r>
      <w:r w:rsidR="001328E0" w:rsidRPr="001E192F">
        <w:rPr>
          <w:szCs w:val="24"/>
        </w:rPr>
        <w:t>These are two very qualitatively and quantitatively different amounts</w:t>
      </w:r>
      <w:r w:rsidR="00993792" w:rsidRPr="001E192F">
        <w:rPr>
          <w:szCs w:val="24"/>
        </w:rPr>
        <w:t xml:space="preserve">.  </w:t>
      </w:r>
      <w:r w:rsidR="001328E0" w:rsidRPr="001E192F">
        <w:rPr>
          <w:szCs w:val="24"/>
        </w:rPr>
        <w:t>The wide ran</w:t>
      </w:r>
      <w:r w:rsidR="00025401" w:rsidRPr="001E192F">
        <w:rPr>
          <w:szCs w:val="24"/>
        </w:rPr>
        <w:t>ge of portfolio alphas that result from making</w:t>
      </w:r>
      <w:r w:rsidR="001328E0" w:rsidRPr="001E192F">
        <w:rPr>
          <w:szCs w:val="24"/>
        </w:rPr>
        <w:t xml:space="preserve"> subtle choice</w:t>
      </w:r>
      <w:r w:rsidR="00025401" w:rsidRPr="001E192F">
        <w:rPr>
          <w:szCs w:val="24"/>
        </w:rPr>
        <w:t xml:space="preserve">s between empirical test designs </w:t>
      </w:r>
      <w:r w:rsidR="001328E0" w:rsidRPr="001E192F">
        <w:rPr>
          <w:szCs w:val="24"/>
        </w:rPr>
        <w:t xml:space="preserve">raises questions about the </w:t>
      </w:r>
      <w:r w:rsidR="00116542" w:rsidRPr="001E192F">
        <w:rPr>
          <w:szCs w:val="24"/>
        </w:rPr>
        <w:t>fragility</w:t>
      </w:r>
      <w:r w:rsidR="001328E0" w:rsidRPr="001E192F">
        <w:rPr>
          <w:szCs w:val="24"/>
        </w:rPr>
        <w:t xml:space="preserve"> of the interpretation </w:t>
      </w:r>
      <w:r w:rsidRPr="001E192F">
        <w:rPr>
          <w:szCs w:val="24"/>
        </w:rPr>
        <w:t xml:space="preserve">of </w:t>
      </w:r>
      <w:r w:rsidR="001328E0" w:rsidRPr="001E192F">
        <w:rPr>
          <w:szCs w:val="24"/>
        </w:rPr>
        <w:t>asset pricing test results</w:t>
      </w:r>
      <w:r w:rsidR="00993792" w:rsidRPr="001E192F">
        <w:rPr>
          <w:szCs w:val="24"/>
        </w:rPr>
        <w:t xml:space="preserve">.  </w:t>
      </w:r>
      <w:r w:rsidR="001328E0" w:rsidRPr="001E192F">
        <w:rPr>
          <w:szCs w:val="24"/>
        </w:rPr>
        <w:t xml:space="preserve">If the nature of the relation </w:t>
      </w:r>
      <w:r w:rsidR="00576344" w:rsidRPr="001E192F">
        <w:rPr>
          <w:szCs w:val="24"/>
        </w:rPr>
        <w:t>between i</w:t>
      </w:r>
      <w:r w:rsidR="007F650D" w:rsidRPr="001E192F">
        <w:rPr>
          <w:szCs w:val="24"/>
        </w:rPr>
        <w:t>diosyncratic volatility and</w:t>
      </w:r>
      <w:r w:rsidR="00576344" w:rsidRPr="001E192F">
        <w:rPr>
          <w:szCs w:val="24"/>
        </w:rPr>
        <w:t xml:space="preserve"> returns </w:t>
      </w:r>
      <w:r w:rsidR="001328E0" w:rsidRPr="001E192F">
        <w:rPr>
          <w:szCs w:val="24"/>
        </w:rPr>
        <w:t>changes</w:t>
      </w:r>
      <w:r w:rsidR="009A6BD8" w:rsidRPr="001E192F">
        <w:rPr>
          <w:szCs w:val="24"/>
        </w:rPr>
        <w:t xml:space="preserve"> </w:t>
      </w:r>
      <w:r w:rsidRPr="001E192F">
        <w:rPr>
          <w:szCs w:val="24"/>
        </w:rPr>
        <w:t xml:space="preserve">following </w:t>
      </w:r>
      <w:r w:rsidR="009A6BD8" w:rsidRPr="001E192F">
        <w:rPr>
          <w:szCs w:val="24"/>
        </w:rPr>
        <w:t>simple changes in methods (e.g</w:t>
      </w:r>
      <w:r w:rsidR="00993792" w:rsidRPr="001E192F">
        <w:rPr>
          <w:szCs w:val="24"/>
        </w:rPr>
        <w:t>.</w:t>
      </w:r>
      <w:r w:rsidRPr="001E192F">
        <w:rPr>
          <w:szCs w:val="24"/>
        </w:rPr>
        <w:t>,</w:t>
      </w:r>
      <w:r w:rsidR="00993792" w:rsidRPr="001E192F">
        <w:rPr>
          <w:szCs w:val="24"/>
        </w:rPr>
        <w:t xml:space="preserve"> </w:t>
      </w:r>
      <w:r w:rsidR="009A6BD8" w:rsidRPr="001E192F">
        <w:rPr>
          <w:szCs w:val="24"/>
        </w:rPr>
        <w:t xml:space="preserve">using </w:t>
      </w:r>
      <w:r w:rsidR="00576344" w:rsidRPr="001E192F">
        <w:rPr>
          <w:szCs w:val="24"/>
        </w:rPr>
        <w:t xml:space="preserve">the equal-weighted </w:t>
      </w:r>
      <w:r w:rsidRPr="001E192F">
        <w:rPr>
          <w:szCs w:val="24"/>
        </w:rPr>
        <w:t xml:space="preserve">rather than value-weighted </w:t>
      </w:r>
      <w:r w:rsidR="00576344" w:rsidRPr="001E192F">
        <w:rPr>
          <w:szCs w:val="24"/>
        </w:rPr>
        <w:t>portfolio</w:t>
      </w:r>
      <w:r w:rsidRPr="001E192F">
        <w:rPr>
          <w:szCs w:val="24"/>
        </w:rPr>
        <w:t>s</w:t>
      </w:r>
      <w:r w:rsidR="009A6BD8" w:rsidRPr="001E192F">
        <w:rPr>
          <w:szCs w:val="24"/>
        </w:rPr>
        <w:t>)</w:t>
      </w:r>
      <w:r w:rsidR="003B0619" w:rsidRPr="001E192F">
        <w:rPr>
          <w:szCs w:val="24"/>
        </w:rPr>
        <w:t>, how c</w:t>
      </w:r>
      <w:r w:rsidR="009A6BD8" w:rsidRPr="001E192F">
        <w:rPr>
          <w:szCs w:val="24"/>
        </w:rPr>
        <w:t>an empirical asset pricing researchers appropriately draw inference about the true profitability from a</w:t>
      </w:r>
      <w:r w:rsidR="00B57034" w:rsidRPr="001E192F">
        <w:rPr>
          <w:szCs w:val="24"/>
        </w:rPr>
        <w:t xml:space="preserve"> particular investing strategy?</w:t>
      </w:r>
    </w:p>
    <w:p w14:paraId="73536AAB" w14:textId="7EC956F7" w:rsidR="00B57034" w:rsidRPr="001E192F" w:rsidRDefault="00B57034" w:rsidP="009A2C29">
      <w:pPr>
        <w:pStyle w:val="BodyTextIndent"/>
        <w:spacing w:after="0" w:line="360" w:lineRule="auto"/>
        <w:rPr>
          <w:szCs w:val="24"/>
        </w:rPr>
      </w:pPr>
      <w:r w:rsidRPr="001E192F">
        <w:rPr>
          <w:szCs w:val="24"/>
        </w:rPr>
        <w:t>The cynical view of empirical research is that a researcher can estimate dozens of models and selectively report the results that tell the best story</w:t>
      </w:r>
      <w:r w:rsidR="00993792" w:rsidRPr="001E192F">
        <w:rPr>
          <w:szCs w:val="24"/>
        </w:rPr>
        <w:t xml:space="preserve">.  </w:t>
      </w:r>
      <w:r w:rsidRPr="001E192F">
        <w:rPr>
          <w:szCs w:val="24"/>
        </w:rPr>
        <w:t>Our results highlight the opportunity of this cynical view</w:t>
      </w:r>
      <w:r w:rsidR="00993792" w:rsidRPr="001E192F">
        <w:rPr>
          <w:szCs w:val="24"/>
        </w:rPr>
        <w:t xml:space="preserve">.  </w:t>
      </w:r>
      <w:r w:rsidRPr="001E192F">
        <w:rPr>
          <w:szCs w:val="24"/>
        </w:rPr>
        <w:t>In addition to the fear that a research</w:t>
      </w:r>
      <w:r w:rsidR="00477DA9" w:rsidRPr="001E192F">
        <w:rPr>
          <w:szCs w:val="24"/>
        </w:rPr>
        <w:t>er</w:t>
      </w:r>
      <w:r w:rsidRPr="001E192F">
        <w:rPr>
          <w:szCs w:val="24"/>
        </w:rPr>
        <w:t xml:space="preserve"> will “cherry pick” the method that </w:t>
      </w:r>
      <w:r w:rsidR="00477DA9" w:rsidRPr="001E192F">
        <w:rPr>
          <w:szCs w:val="24"/>
        </w:rPr>
        <w:t xml:space="preserve">leads to </w:t>
      </w:r>
      <w:r w:rsidRPr="001E192F">
        <w:rPr>
          <w:szCs w:val="24"/>
        </w:rPr>
        <w:t xml:space="preserve">the preferred conclusion, </w:t>
      </w:r>
      <w:r w:rsidR="00477DA9" w:rsidRPr="001E192F">
        <w:rPr>
          <w:szCs w:val="24"/>
        </w:rPr>
        <w:t xml:space="preserve">and </w:t>
      </w:r>
      <w:r w:rsidRPr="001E192F">
        <w:rPr>
          <w:szCs w:val="24"/>
        </w:rPr>
        <w:t>given the rise of computing power and data availability, a research</w:t>
      </w:r>
      <w:r w:rsidR="00477DA9" w:rsidRPr="001E192F">
        <w:rPr>
          <w:szCs w:val="24"/>
        </w:rPr>
        <w:t>er</w:t>
      </w:r>
      <w:r w:rsidRPr="001E192F">
        <w:rPr>
          <w:szCs w:val="24"/>
        </w:rPr>
        <w:t xml:space="preserve"> could find several models and methods that could give an additional appearance of robustness</w:t>
      </w:r>
      <w:r w:rsidR="00993792" w:rsidRPr="001E192F">
        <w:rPr>
          <w:szCs w:val="24"/>
        </w:rPr>
        <w:t xml:space="preserve">.  </w:t>
      </w:r>
      <w:r w:rsidRPr="001E192F">
        <w:rPr>
          <w:szCs w:val="24"/>
        </w:rPr>
        <w:t>Not only can researchers estimate dozens of models, they can also report the results of dozens, or even millions of models (</w:t>
      </w:r>
      <w:proofErr w:type="spellStart"/>
      <w:r w:rsidRPr="001E192F">
        <w:rPr>
          <w:szCs w:val="24"/>
        </w:rPr>
        <w:t>Sala</w:t>
      </w:r>
      <w:proofErr w:type="spellEnd"/>
      <w:r w:rsidRPr="001E192F">
        <w:rPr>
          <w:szCs w:val="24"/>
        </w:rPr>
        <w:t>-I-Martin, 1997)</w:t>
      </w:r>
      <w:r w:rsidR="00993792" w:rsidRPr="001E192F">
        <w:rPr>
          <w:szCs w:val="24"/>
        </w:rPr>
        <w:t xml:space="preserve">.  </w:t>
      </w:r>
      <w:r w:rsidRPr="001E192F">
        <w:rPr>
          <w:szCs w:val="24"/>
        </w:rPr>
        <w:t xml:space="preserve">While journals cannot feasibly publish in print all of the extra results, they could report them as an </w:t>
      </w:r>
      <w:proofErr w:type="gramStart"/>
      <w:r w:rsidRPr="001E192F">
        <w:rPr>
          <w:szCs w:val="24"/>
        </w:rPr>
        <w:t>internet</w:t>
      </w:r>
      <w:proofErr w:type="gramEnd"/>
      <w:r w:rsidRPr="001E192F">
        <w:rPr>
          <w:szCs w:val="24"/>
        </w:rPr>
        <w:t xml:space="preserve"> appendix</w:t>
      </w:r>
      <w:r w:rsidR="00993792" w:rsidRPr="001E192F">
        <w:rPr>
          <w:szCs w:val="24"/>
        </w:rPr>
        <w:t xml:space="preserve">.  </w:t>
      </w:r>
      <w:r w:rsidRPr="001E192F">
        <w:rPr>
          <w:szCs w:val="24"/>
        </w:rPr>
        <w:t>Alternatively, most researchers have their own personal pages on their university website on which they report their curriculum vitae, drafts of working papers, and computer code from research studies</w:t>
      </w:r>
      <w:r w:rsidR="00993792" w:rsidRPr="001E192F">
        <w:rPr>
          <w:szCs w:val="24"/>
        </w:rPr>
        <w:t xml:space="preserve">.  </w:t>
      </w:r>
      <w:r w:rsidRPr="001E192F">
        <w:rPr>
          <w:szCs w:val="24"/>
        </w:rPr>
        <w:t>Instead</w:t>
      </w:r>
      <w:r w:rsidR="00E05A9A" w:rsidRPr="001E192F">
        <w:rPr>
          <w:szCs w:val="24"/>
        </w:rPr>
        <w:t xml:space="preserve"> of</w:t>
      </w:r>
      <w:r w:rsidRPr="001E192F">
        <w:rPr>
          <w:szCs w:val="24"/>
        </w:rPr>
        <w:t xml:space="preserve"> reporting results selectively, we could strive to report results comprehensively.</w:t>
      </w:r>
    </w:p>
    <w:p w14:paraId="29E14FAB" w14:textId="4CBAC34D" w:rsidR="001328E0" w:rsidRDefault="00497157" w:rsidP="009A2C29">
      <w:pPr>
        <w:spacing w:after="0" w:line="360" w:lineRule="auto"/>
        <w:rPr>
          <w:szCs w:val="24"/>
        </w:rPr>
      </w:pPr>
      <w:r w:rsidRPr="001E192F">
        <w:rPr>
          <w:szCs w:val="24"/>
        </w:rPr>
        <w:t xml:space="preserve">Several researchers have contemplated how </w:t>
      </w:r>
      <w:r w:rsidR="00E05A9A" w:rsidRPr="001E192F">
        <w:rPr>
          <w:szCs w:val="24"/>
        </w:rPr>
        <w:t xml:space="preserve">to </w:t>
      </w:r>
      <w:r w:rsidRPr="001E192F">
        <w:rPr>
          <w:szCs w:val="24"/>
        </w:rPr>
        <w:t>combat any charge of “cherry picking” results in empirical research</w:t>
      </w:r>
      <w:r w:rsidR="00993792" w:rsidRPr="001E192F">
        <w:rPr>
          <w:szCs w:val="24"/>
        </w:rPr>
        <w:t xml:space="preserve">.  </w:t>
      </w:r>
      <w:proofErr w:type="spellStart"/>
      <w:r w:rsidR="00116542" w:rsidRPr="001E192F">
        <w:rPr>
          <w:szCs w:val="24"/>
        </w:rPr>
        <w:t>Leamer</w:t>
      </w:r>
      <w:proofErr w:type="spellEnd"/>
      <w:r w:rsidR="00116542" w:rsidRPr="001E192F">
        <w:rPr>
          <w:szCs w:val="24"/>
        </w:rPr>
        <w:t xml:space="preserve"> (1983, 1985, </w:t>
      </w:r>
      <w:r w:rsidR="00960A12" w:rsidRPr="001E192F">
        <w:rPr>
          <w:szCs w:val="24"/>
        </w:rPr>
        <w:t>and 2010</w:t>
      </w:r>
      <w:r w:rsidR="00116542" w:rsidRPr="001E192F">
        <w:rPr>
          <w:szCs w:val="24"/>
        </w:rPr>
        <w:t xml:space="preserve">) advocates a sensitivity analysis </w:t>
      </w:r>
      <w:r w:rsidR="00CE7869" w:rsidRPr="001E192F">
        <w:rPr>
          <w:szCs w:val="24"/>
        </w:rPr>
        <w:t xml:space="preserve">in which researchers </w:t>
      </w:r>
      <w:r w:rsidRPr="001E192F">
        <w:rPr>
          <w:szCs w:val="24"/>
        </w:rPr>
        <w:t>estimate the extreme maximum and minimum values for regression coefficients</w:t>
      </w:r>
      <w:r w:rsidR="00993792" w:rsidRPr="001E192F">
        <w:rPr>
          <w:szCs w:val="24"/>
        </w:rPr>
        <w:t xml:space="preserve">.  </w:t>
      </w:r>
      <w:proofErr w:type="spellStart"/>
      <w:r w:rsidRPr="001E192F">
        <w:rPr>
          <w:szCs w:val="24"/>
        </w:rPr>
        <w:t>Sala</w:t>
      </w:r>
      <w:proofErr w:type="spellEnd"/>
      <w:r w:rsidRPr="001E192F">
        <w:rPr>
          <w:szCs w:val="24"/>
        </w:rPr>
        <w:t xml:space="preserve">-I-Martin (1997) argues that </w:t>
      </w:r>
      <w:proofErr w:type="spellStart"/>
      <w:r w:rsidRPr="001E192F">
        <w:rPr>
          <w:szCs w:val="24"/>
        </w:rPr>
        <w:t>Leamer’s</w:t>
      </w:r>
      <w:proofErr w:type="spellEnd"/>
      <w:r w:rsidRPr="001E192F">
        <w:rPr>
          <w:szCs w:val="24"/>
        </w:rPr>
        <w:t xml:space="preserve"> (1983) method is unnecessarily strict and prefers to estimate every possible combination of a set of control variables and the probability distributions of the set of regression coefficients</w:t>
      </w:r>
      <w:r w:rsidR="00993792" w:rsidRPr="001E192F">
        <w:rPr>
          <w:szCs w:val="24"/>
        </w:rPr>
        <w:t xml:space="preserve">.  </w:t>
      </w:r>
      <w:proofErr w:type="gramStart"/>
      <w:r w:rsidR="006324FB" w:rsidRPr="001E192F">
        <w:rPr>
          <w:szCs w:val="24"/>
        </w:rPr>
        <w:t>T</w:t>
      </w:r>
      <w:r w:rsidR="00CE36B9" w:rsidRPr="001E192F">
        <w:rPr>
          <w:szCs w:val="24"/>
        </w:rPr>
        <w:t xml:space="preserve">he concerns of </w:t>
      </w:r>
      <w:r w:rsidR="001328E0" w:rsidRPr="001E192F">
        <w:rPr>
          <w:szCs w:val="24"/>
        </w:rPr>
        <w:t>those</w:t>
      </w:r>
      <w:r w:rsidR="006324FB" w:rsidRPr="001E192F">
        <w:rPr>
          <w:szCs w:val="24"/>
        </w:rPr>
        <w:t xml:space="preserve"> sympathetic with </w:t>
      </w:r>
      <w:proofErr w:type="spellStart"/>
      <w:r w:rsidR="006324FB" w:rsidRPr="001E192F">
        <w:rPr>
          <w:szCs w:val="24"/>
        </w:rPr>
        <w:t>Leamer’s</w:t>
      </w:r>
      <w:proofErr w:type="spellEnd"/>
      <w:r w:rsidR="00174BFA" w:rsidRPr="001E192F">
        <w:rPr>
          <w:szCs w:val="24"/>
        </w:rPr>
        <w:t xml:space="preserve"> view</w:t>
      </w:r>
      <w:r w:rsidR="00CE36B9" w:rsidRPr="001E192F">
        <w:rPr>
          <w:szCs w:val="24"/>
        </w:rPr>
        <w:t>s</w:t>
      </w:r>
      <w:r w:rsidR="00174BFA" w:rsidRPr="001E192F">
        <w:rPr>
          <w:szCs w:val="24"/>
        </w:rPr>
        <w:t xml:space="preserve"> stem</w:t>
      </w:r>
      <w:r w:rsidR="001328E0" w:rsidRPr="001E192F">
        <w:rPr>
          <w:szCs w:val="24"/>
        </w:rPr>
        <w:t xml:space="preserve"> from the rise of computing power and data availabi</w:t>
      </w:r>
      <w:r w:rsidR="006324FB" w:rsidRPr="001E192F">
        <w:rPr>
          <w:szCs w:val="24"/>
        </w:rPr>
        <w:t>lity</w:t>
      </w:r>
      <w:r w:rsidR="00993792" w:rsidRPr="001E192F">
        <w:rPr>
          <w:szCs w:val="24"/>
        </w:rPr>
        <w:t>.</w:t>
      </w:r>
      <w:proofErr w:type="gramEnd"/>
    </w:p>
    <w:p w14:paraId="33E34B12" w14:textId="77777777" w:rsidR="00F05C2D" w:rsidRDefault="00F05C2D" w:rsidP="009A2C29">
      <w:pPr>
        <w:pStyle w:val="Footer"/>
        <w:tabs>
          <w:tab w:val="clear" w:pos="4680"/>
          <w:tab w:val="clear" w:pos="9360"/>
        </w:tabs>
        <w:spacing w:line="360" w:lineRule="auto"/>
        <w:rPr>
          <w:szCs w:val="24"/>
        </w:rPr>
      </w:pPr>
    </w:p>
    <w:p w14:paraId="545194CF" w14:textId="77777777" w:rsidR="00F05C2D" w:rsidRPr="00F05C2D" w:rsidRDefault="00F05C2D" w:rsidP="009A2C29">
      <w:pPr>
        <w:pStyle w:val="Heading1"/>
        <w:spacing w:after="0" w:line="360" w:lineRule="auto"/>
        <w:ind w:firstLine="720"/>
        <w:jc w:val="left"/>
        <w:rPr>
          <w:rFonts w:cs="Times New Roman"/>
          <w:sz w:val="24"/>
          <w:szCs w:val="24"/>
        </w:rPr>
      </w:pPr>
    </w:p>
    <w:p w14:paraId="37B376A8" w14:textId="0EC0534F" w:rsidR="00BC5C85" w:rsidRPr="009A2C29" w:rsidRDefault="001E192F" w:rsidP="009A2C29">
      <w:pPr>
        <w:pStyle w:val="Heading1"/>
        <w:spacing w:after="0" w:line="360" w:lineRule="auto"/>
        <w:jc w:val="left"/>
        <w:rPr>
          <w:rFonts w:cs="Times New Roman"/>
          <w:sz w:val="24"/>
          <w:szCs w:val="24"/>
        </w:rPr>
      </w:pPr>
      <w:r w:rsidRPr="009A2C29">
        <w:rPr>
          <w:rFonts w:cs="Times New Roman"/>
          <w:sz w:val="24"/>
          <w:szCs w:val="24"/>
        </w:rPr>
        <w:t>References</w:t>
      </w:r>
    </w:p>
    <w:p w14:paraId="5AB1E381" w14:textId="248DB5AB" w:rsidR="00CB2AAF" w:rsidRPr="00B82AB8" w:rsidRDefault="00CB2AAF" w:rsidP="009A2C29">
      <w:pPr>
        <w:pStyle w:val="NoSpacing"/>
        <w:spacing w:after="0" w:line="360" w:lineRule="auto"/>
        <w:contextualSpacing/>
      </w:pPr>
      <w:proofErr w:type="spellStart"/>
      <w:r w:rsidRPr="00B82AB8">
        <w:t>Ang</w:t>
      </w:r>
      <w:proofErr w:type="spellEnd"/>
      <w:r w:rsidRPr="00B82AB8">
        <w:t xml:space="preserve">, A., R.J. </w:t>
      </w:r>
      <w:proofErr w:type="spellStart"/>
      <w:r w:rsidRPr="00B82AB8">
        <w:t>Hodrick</w:t>
      </w:r>
      <w:proofErr w:type="spellEnd"/>
      <w:r w:rsidRPr="00B82AB8">
        <w:t>, Y. Xing, and X. Zhang</w:t>
      </w:r>
      <w:r w:rsidR="00A82675">
        <w:t>, 2006.</w:t>
      </w:r>
      <w:r w:rsidR="00C67556" w:rsidRPr="00B82AB8">
        <w:t xml:space="preserve"> </w:t>
      </w:r>
      <w:proofErr w:type="gramStart"/>
      <w:r w:rsidRPr="00B82AB8">
        <w:t xml:space="preserve">The Cross-Section of </w:t>
      </w:r>
      <w:r w:rsidR="00A82675">
        <w:t>Volatility and Expected Returns.</w:t>
      </w:r>
      <w:proofErr w:type="gramEnd"/>
      <w:r w:rsidR="00A82675">
        <w:t xml:space="preserve">  </w:t>
      </w:r>
      <w:r w:rsidRPr="00B82AB8">
        <w:rPr>
          <w:i/>
        </w:rPr>
        <w:t xml:space="preserve">Journal of </w:t>
      </w:r>
      <w:proofErr w:type="gramStart"/>
      <w:r w:rsidRPr="00B82AB8">
        <w:rPr>
          <w:i/>
        </w:rPr>
        <w:t>Finance</w:t>
      </w:r>
      <w:r w:rsidR="00A82675">
        <w:t xml:space="preserve">  61</w:t>
      </w:r>
      <w:proofErr w:type="gramEnd"/>
      <w:r w:rsidR="00A82675">
        <w:t xml:space="preserve">(1): </w:t>
      </w:r>
      <w:r w:rsidRPr="00B82AB8">
        <w:t>259-299.</w:t>
      </w:r>
    </w:p>
    <w:p w14:paraId="28164C37" w14:textId="62770C97" w:rsidR="00CB2AAF" w:rsidRPr="00B82AB8" w:rsidRDefault="00CB2AAF" w:rsidP="009A2C29">
      <w:pPr>
        <w:pStyle w:val="NoSpacing"/>
        <w:spacing w:after="0" w:line="360" w:lineRule="auto"/>
        <w:contextualSpacing/>
      </w:pPr>
      <w:proofErr w:type="gramStart"/>
      <w:r w:rsidRPr="00B82AB8">
        <w:t>Arena, M.P., K.S. Haggard, and X. Yan</w:t>
      </w:r>
      <w:r w:rsidR="00A82675">
        <w:t>, 2008.</w:t>
      </w:r>
      <w:proofErr w:type="gramEnd"/>
      <w:r w:rsidR="00C67556" w:rsidRPr="00B82AB8">
        <w:t xml:space="preserve"> </w:t>
      </w:r>
      <w:r w:rsidR="00A82675">
        <w:t xml:space="preserve"> </w:t>
      </w:r>
      <w:r w:rsidRPr="00B82AB8">
        <w:t>Price Moment</w:t>
      </w:r>
      <w:r w:rsidR="00A82675">
        <w:t xml:space="preserve">um and Idiosyncratic Volatility.  </w:t>
      </w:r>
      <w:r w:rsidRPr="00B82AB8">
        <w:rPr>
          <w:i/>
        </w:rPr>
        <w:t>Financial Review</w:t>
      </w:r>
      <w:r w:rsidR="00A82675">
        <w:t xml:space="preserve"> 43(1):</w:t>
      </w:r>
      <w:r w:rsidR="00C67556" w:rsidRPr="00B82AB8">
        <w:t xml:space="preserve"> </w:t>
      </w:r>
      <w:r w:rsidRPr="00B82AB8">
        <w:t>59-190.</w:t>
      </w:r>
    </w:p>
    <w:p w14:paraId="32820324" w14:textId="6B7F1C63" w:rsidR="00CB2AAF" w:rsidRPr="00B82AB8" w:rsidRDefault="00CB2AAF" w:rsidP="009A2C29">
      <w:pPr>
        <w:pStyle w:val="NoSpacing"/>
        <w:spacing w:after="0" w:line="360" w:lineRule="auto"/>
        <w:contextualSpacing/>
      </w:pPr>
      <w:r w:rsidRPr="00B82AB8">
        <w:t xml:space="preserve">Bali, T.G. and </w:t>
      </w:r>
      <w:r w:rsidR="00C67556" w:rsidRPr="00B82AB8">
        <w:t xml:space="preserve">N. </w:t>
      </w:r>
      <w:proofErr w:type="spellStart"/>
      <w:r w:rsidR="00A82675">
        <w:t>Cakici</w:t>
      </w:r>
      <w:proofErr w:type="spellEnd"/>
      <w:r w:rsidR="00A82675">
        <w:t xml:space="preserve">, 2008. </w:t>
      </w:r>
      <w:r w:rsidRPr="00B82AB8">
        <w:t>Idiosyncratic Volatility and the Cr</w:t>
      </w:r>
      <w:r w:rsidR="00A82675">
        <w:t xml:space="preserve">oss-Section of Expected Returns. </w:t>
      </w:r>
      <w:r w:rsidRPr="00B82AB8">
        <w:t xml:space="preserve"> </w:t>
      </w:r>
      <w:proofErr w:type="gramStart"/>
      <w:r w:rsidRPr="00B82AB8">
        <w:rPr>
          <w:i/>
        </w:rPr>
        <w:t>Journal of Financial and Quantitative Analysis</w:t>
      </w:r>
      <w:r w:rsidR="00E27035">
        <w:rPr>
          <w:i/>
        </w:rPr>
        <w:t>.</w:t>
      </w:r>
      <w:proofErr w:type="gramEnd"/>
      <w:r w:rsidR="00E27035">
        <w:t xml:space="preserve"> </w:t>
      </w:r>
      <w:proofErr w:type="gramStart"/>
      <w:r w:rsidR="00E27035">
        <w:t>43(1):</w:t>
      </w:r>
      <w:r w:rsidR="00C67556" w:rsidRPr="00B82AB8">
        <w:t xml:space="preserve"> </w:t>
      </w:r>
      <w:r w:rsidRPr="00B82AB8">
        <w:t>29-58.</w:t>
      </w:r>
      <w:proofErr w:type="gramEnd"/>
    </w:p>
    <w:p w14:paraId="056CFFC6" w14:textId="6B8A2DE8" w:rsidR="00CB2AAF" w:rsidRPr="00B82AB8" w:rsidRDefault="00E27035" w:rsidP="009A2C29">
      <w:pPr>
        <w:pStyle w:val="NoSpacing"/>
        <w:spacing w:after="0" w:line="360" w:lineRule="auto"/>
        <w:contextualSpacing/>
      </w:pPr>
      <w:proofErr w:type="spellStart"/>
      <w:r>
        <w:t>Carhart</w:t>
      </w:r>
      <w:proofErr w:type="spellEnd"/>
      <w:r>
        <w:t>, M.M., 1997.</w:t>
      </w:r>
      <w:r w:rsidR="00C67556" w:rsidRPr="00B82AB8">
        <w:t xml:space="preserve"> </w:t>
      </w:r>
      <w:r>
        <w:t xml:space="preserve"> </w:t>
      </w:r>
      <w:proofErr w:type="gramStart"/>
      <w:r w:rsidR="00CB2AAF" w:rsidRPr="00B82AB8">
        <w:t>On Persist</w:t>
      </w:r>
      <w:r>
        <w:t>ence in Mutual Fund Performance.</w:t>
      </w:r>
      <w:proofErr w:type="gramEnd"/>
      <w:r w:rsidR="00CB2AAF" w:rsidRPr="00B82AB8">
        <w:t xml:space="preserve"> </w:t>
      </w:r>
      <w:proofErr w:type="gramStart"/>
      <w:r w:rsidR="00CB2AAF" w:rsidRPr="00B82AB8">
        <w:rPr>
          <w:i/>
        </w:rPr>
        <w:t>Journal of Finance</w:t>
      </w:r>
      <w:r>
        <w:t xml:space="preserve"> </w:t>
      </w:r>
      <w:r w:rsidR="00CB2AAF" w:rsidRPr="00B82AB8">
        <w:t>52</w:t>
      </w:r>
      <w:r>
        <w:t xml:space="preserve">(1): </w:t>
      </w:r>
      <w:r w:rsidR="00C67556" w:rsidRPr="00B82AB8">
        <w:t xml:space="preserve"> </w:t>
      </w:r>
      <w:r w:rsidR="00CB2AAF" w:rsidRPr="00B82AB8">
        <w:t>57-82.</w:t>
      </w:r>
      <w:proofErr w:type="gramEnd"/>
    </w:p>
    <w:p w14:paraId="3FA5DF20" w14:textId="5A8EF50F" w:rsidR="00CB2AAF" w:rsidRPr="00B82AB8" w:rsidRDefault="00CB2AAF" w:rsidP="009A2C29">
      <w:pPr>
        <w:pStyle w:val="NoSpacing"/>
        <w:spacing w:after="0" w:line="360" w:lineRule="auto"/>
        <w:contextualSpacing/>
      </w:pPr>
      <w:r w:rsidRPr="00B82AB8">
        <w:t xml:space="preserve">Chen, L.H., G.J. Jiang, D. </w:t>
      </w:r>
      <w:proofErr w:type="spellStart"/>
      <w:r w:rsidRPr="00B82AB8">
        <w:t>Xu</w:t>
      </w:r>
      <w:proofErr w:type="spellEnd"/>
      <w:r w:rsidRPr="00B82AB8">
        <w:t>, and T. Yao</w:t>
      </w:r>
      <w:r w:rsidR="00E27035">
        <w:t xml:space="preserve">, 2012. </w:t>
      </w:r>
      <w:r w:rsidRPr="00B82AB8">
        <w:t>Dissecting the Idiosyncratic Volat</w:t>
      </w:r>
      <w:r w:rsidR="00E27035">
        <w:t>ility Anomaly.</w:t>
      </w:r>
      <w:r w:rsidRPr="00B82AB8">
        <w:t xml:space="preserve"> Working Paper, SSRN (available at SSRN: http://ssrn.com/abstract=2023883).</w:t>
      </w:r>
    </w:p>
    <w:p w14:paraId="5F352B48" w14:textId="075B999B" w:rsidR="00CB2AAF" w:rsidRPr="00B82AB8" w:rsidRDefault="00CB2AAF" w:rsidP="009A2C29">
      <w:pPr>
        <w:pStyle w:val="NoSpacing"/>
        <w:spacing w:after="0" w:line="360" w:lineRule="auto"/>
        <w:contextualSpacing/>
      </w:pPr>
      <w:proofErr w:type="spellStart"/>
      <w:r w:rsidRPr="00B82AB8">
        <w:t>Fama</w:t>
      </w:r>
      <w:proofErr w:type="spellEnd"/>
      <w:r w:rsidRPr="00B82AB8">
        <w:t xml:space="preserve">, E.F. and </w:t>
      </w:r>
      <w:r w:rsidR="00C67556" w:rsidRPr="00B82AB8">
        <w:t xml:space="preserve">K.R. </w:t>
      </w:r>
      <w:r w:rsidRPr="00B82AB8">
        <w:t>French</w:t>
      </w:r>
      <w:r w:rsidR="00E27035">
        <w:t xml:space="preserve">, 1992. </w:t>
      </w:r>
      <w:proofErr w:type="gramStart"/>
      <w:r w:rsidRPr="00B82AB8">
        <w:t>The Cross-Se</w:t>
      </w:r>
      <w:r w:rsidR="00E27035">
        <w:t>ction of Expected Stock Returns.</w:t>
      </w:r>
      <w:proofErr w:type="gramEnd"/>
      <w:r w:rsidRPr="00B82AB8">
        <w:t xml:space="preserve"> </w:t>
      </w:r>
      <w:r w:rsidRPr="00B82AB8">
        <w:rPr>
          <w:i/>
        </w:rPr>
        <w:t>Journal of Finance</w:t>
      </w:r>
      <w:r w:rsidR="00E27035">
        <w:t xml:space="preserve"> 47(2):</w:t>
      </w:r>
      <w:r w:rsidR="00C67556" w:rsidRPr="00B82AB8">
        <w:t xml:space="preserve"> </w:t>
      </w:r>
      <w:r w:rsidRPr="00B82AB8">
        <w:t>427-465.</w:t>
      </w:r>
    </w:p>
    <w:p w14:paraId="0B5C439B" w14:textId="4D708700" w:rsidR="00CB2AAF" w:rsidRPr="00B82AB8" w:rsidRDefault="00CB2AAF" w:rsidP="009A2C29">
      <w:pPr>
        <w:pStyle w:val="NoSpacing"/>
        <w:spacing w:after="0" w:line="360" w:lineRule="auto"/>
        <w:contextualSpacing/>
      </w:pPr>
      <w:proofErr w:type="spellStart"/>
      <w:r w:rsidRPr="00B82AB8">
        <w:t>Fama</w:t>
      </w:r>
      <w:proofErr w:type="spellEnd"/>
      <w:r w:rsidRPr="00B82AB8">
        <w:t xml:space="preserve">, E.F. and </w:t>
      </w:r>
      <w:r w:rsidR="00C67556" w:rsidRPr="00B82AB8">
        <w:t xml:space="preserve">K.R. </w:t>
      </w:r>
      <w:r w:rsidRPr="00B82AB8">
        <w:t>French</w:t>
      </w:r>
      <w:r w:rsidR="00E27035">
        <w:t xml:space="preserve">, 1993. </w:t>
      </w:r>
      <w:r w:rsidRPr="00B82AB8">
        <w:t xml:space="preserve">Common Risk Factors in </w:t>
      </w:r>
      <w:r w:rsidR="00E27035">
        <w:t>the Returns on Stocks and Bonds.</w:t>
      </w:r>
      <w:r w:rsidRPr="00B82AB8">
        <w:t xml:space="preserve"> </w:t>
      </w:r>
      <w:proofErr w:type="gramStart"/>
      <w:r w:rsidRPr="00B82AB8">
        <w:rPr>
          <w:i/>
        </w:rPr>
        <w:t>Journal of Financial Economics</w:t>
      </w:r>
      <w:r w:rsidR="00E27035">
        <w:t xml:space="preserve"> 33(1):</w:t>
      </w:r>
      <w:r w:rsidR="00C67556" w:rsidRPr="00B82AB8">
        <w:t xml:space="preserve"> </w:t>
      </w:r>
      <w:r w:rsidRPr="00B82AB8">
        <w:t>3-56.</w:t>
      </w:r>
      <w:proofErr w:type="gramEnd"/>
    </w:p>
    <w:p w14:paraId="52A9A08D" w14:textId="509327E8" w:rsidR="00CB2AAF" w:rsidRPr="00B82AB8" w:rsidRDefault="00C67556" w:rsidP="009A2C29">
      <w:pPr>
        <w:pStyle w:val="NoSpacing"/>
        <w:spacing w:after="0" w:line="360" w:lineRule="auto"/>
        <w:contextualSpacing/>
      </w:pPr>
      <w:proofErr w:type="spellStart"/>
      <w:r w:rsidRPr="00B82AB8">
        <w:t>Fama</w:t>
      </w:r>
      <w:proofErr w:type="spellEnd"/>
      <w:r w:rsidRPr="00B82AB8">
        <w:t>, E.F.</w:t>
      </w:r>
      <w:r w:rsidR="00CB2AAF" w:rsidRPr="00B82AB8">
        <w:t xml:space="preserve"> and </w:t>
      </w:r>
      <w:r w:rsidRPr="00B82AB8">
        <w:t xml:space="preserve">K.R. </w:t>
      </w:r>
      <w:r w:rsidR="00E27035">
        <w:t xml:space="preserve">French, 2008.  Dissecting Anomalies. </w:t>
      </w:r>
      <w:r w:rsidR="00CB2AAF" w:rsidRPr="00B82AB8">
        <w:t xml:space="preserve"> </w:t>
      </w:r>
      <w:proofErr w:type="gramStart"/>
      <w:r w:rsidR="00CB2AAF" w:rsidRPr="00B82AB8">
        <w:rPr>
          <w:i/>
        </w:rPr>
        <w:t>Journal of Finance</w:t>
      </w:r>
      <w:r w:rsidR="00E27035">
        <w:t xml:space="preserve"> 63(</w:t>
      </w:r>
      <w:r w:rsidR="00B82AB8" w:rsidRPr="00B82AB8">
        <w:t>4</w:t>
      </w:r>
      <w:r w:rsidR="00E27035">
        <w:t>)</w:t>
      </w:r>
      <w:r w:rsidRPr="00B82AB8">
        <w:t xml:space="preserve"> </w:t>
      </w:r>
      <w:r w:rsidR="00CB2AAF" w:rsidRPr="00B82AB8">
        <w:t>1653-1678.</w:t>
      </w:r>
      <w:proofErr w:type="gramEnd"/>
    </w:p>
    <w:p w14:paraId="072861C2" w14:textId="3D9DCC55" w:rsidR="00CB2AAF" w:rsidRPr="00B82AB8" w:rsidRDefault="00CB2AAF" w:rsidP="009A2C29">
      <w:pPr>
        <w:pStyle w:val="NoSpacing"/>
        <w:spacing w:after="0" w:line="360" w:lineRule="auto"/>
        <w:contextualSpacing/>
      </w:pPr>
      <w:proofErr w:type="spellStart"/>
      <w:r w:rsidRPr="00B82AB8">
        <w:t>Fama</w:t>
      </w:r>
      <w:proofErr w:type="spellEnd"/>
      <w:r w:rsidRPr="00B82AB8">
        <w:t xml:space="preserve">, E.F. and </w:t>
      </w:r>
      <w:r w:rsidR="00C67556" w:rsidRPr="00B82AB8">
        <w:t xml:space="preserve">K.R. </w:t>
      </w:r>
      <w:r w:rsidRPr="00B82AB8">
        <w:t>French</w:t>
      </w:r>
      <w:r w:rsidR="00E27035">
        <w:t xml:space="preserve">, </w:t>
      </w:r>
      <w:r w:rsidR="00C67556" w:rsidRPr="00B82AB8">
        <w:t>2</w:t>
      </w:r>
      <w:r w:rsidR="00E27035">
        <w:t xml:space="preserve">015. </w:t>
      </w:r>
      <w:proofErr w:type="gramStart"/>
      <w:r w:rsidRPr="00B82AB8">
        <w:t xml:space="preserve">A </w:t>
      </w:r>
      <w:r w:rsidR="00E27035">
        <w:t>Five-Factor Asset Pricing Model.</w:t>
      </w:r>
      <w:proofErr w:type="gramEnd"/>
      <w:r w:rsidRPr="00B82AB8">
        <w:t xml:space="preserve"> </w:t>
      </w:r>
      <w:proofErr w:type="gramStart"/>
      <w:r w:rsidRPr="00B82AB8">
        <w:rPr>
          <w:i/>
        </w:rPr>
        <w:t>Journal of Financial Economics</w:t>
      </w:r>
      <w:r w:rsidR="00E27035">
        <w:t xml:space="preserve"> 116(1):</w:t>
      </w:r>
      <w:r w:rsidR="00C67556" w:rsidRPr="00B82AB8">
        <w:t xml:space="preserve"> </w:t>
      </w:r>
      <w:r w:rsidRPr="00B82AB8">
        <w:t>1-22.</w:t>
      </w:r>
      <w:proofErr w:type="gramEnd"/>
    </w:p>
    <w:p w14:paraId="7CB03C7F" w14:textId="22F68845" w:rsidR="00CB2AAF" w:rsidRPr="00B82AB8" w:rsidRDefault="00C67556" w:rsidP="009A2C29">
      <w:pPr>
        <w:pStyle w:val="NoSpacing"/>
        <w:spacing w:after="0" w:line="360" w:lineRule="auto"/>
        <w:contextualSpacing/>
      </w:pPr>
      <w:r w:rsidRPr="00B82AB8">
        <w:t>Han, Y.</w:t>
      </w:r>
      <w:r w:rsidR="00CB2AAF" w:rsidRPr="00B82AB8">
        <w:t xml:space="preserve"> and </w:t>
      </w:r>
      <w:r w:rsidRPr="00B82AB8">
        <w:t xml:space="preserve">D. </w:t>
      </w:r>
      <w:proofErr w:type="spellStart"/>
      <w:r w:rsidR="00CB2AAF" w:rsidRPr="00B82AB8">
        <w:t>Lesmond</w:t>
      </w:r>
      <w:proofErr w:type="spellEnd"/>
      <w:r w:rsidR="00E27035">
        <w:t>,</w:t>
      </w:r>
      <w:r w:rsidR="00CB2AAF" w:rsidRPr="00B82AB8">
        <w:t xml:space="preserve"> </w:t>
      </w:r>
      <w:r w:rsidR="00E27035">
        <w:t xml:space="preserve">2011. </w:t>
      </w:r>
      <w:proofErr w:type="gramStart"/>
      <w:r w:rsidR="00CB2AAF" w:rsidRPr="00B82AB8">
        <w:t>Liquidity Biases in the Pricing of Cross-Sec</w:t>
      </w:r>
      <w:r w:rsidR="00E27035">
        <w:t>tional Idiosyncratic Volatility.</w:t>
      </w:r>
      <w:proofErr w:type="gramEnd"/>
      <w:r w:rsidR="00E27035">
        <w:t xml:space="preserve"> </w:t>
      </w:r>
      <w:r w:rsidR="00CB2AAF" w:rsidRPr="00B82AB8">
        <w:t xml:space="preserve"> </w:t>
      </w:r>
      <w:r w:rsidR="00CB2AAF" w:rsidRPr="00B82AB8">
        <w:rPr>
          <w:i/>
        </w:rPr>
        <w:t>Review of Financial Studies</w:t>
      </w:r>
      <w:r w:rsidR="00E27035">
        <w:t xml:space="preserve"> </w:t>
      </w:r>
      <w:r w:rsidR="00CB2AAF" w:rsidRPr="00B82AB8">
        <w:t>24</w:t>
      </w:r>
      <w:r w:rsidR="00D86376">
        <w:t>(5)</w:t>
      </w:r>
      <w:proofErr w:type="gramStart"/>
      <w:r w:rsidR="00D86376">
        <w:t>:</w:t>
      </w:r>
      <w:r w:rsidR="00CB2AAF" w:rsidRPr="00B82AB8">
        <w:t>1590</w:t>
      </w:r>
      <w:proofErr w:type="gramEnd"/>
      <w:r w:rsidR="00CB2AAF" w:rsidRPr="00B82AB8">
        <w:t>-1629.</w:t>
      </w:r>
    </w:p>
    <w:p w14:paraId="7B13FC51" w14:textId="3BF86B41" w:rsidR="00CB2AAF" w:rsidRPr="00B82AB8" w:rsidRDefault="00CB2AAF" w:rsidP="009A2C29">
      <w:pPr>
        <w:pStyle w:val="NoSpacing"/>
        <w:spacing w:after="0" w:line="360" w:lineRule="auto"/>
        <w:contextualSpacing/>
      </w:pPr>
      <w:r w:rsidRPr="00B82AB8">
        <w:t>Huang, W., Q. Liu, S.G. Rhee, and L. Zhang</w:t>
      </w:r>
      <w:r w:rsidR="00D86376">
        <w:t xml:space="preserve">, 2010.  </w:t>
      </w:r>
      <w:r w:rsidRPr="00B82AB8">
        <w:t>Return Reversals, Idiosyncratic Risk, a</w:t>
      </w:r>
      <w:r w:rsidR="00D86376">
        <w:t>nd Expected Returns.</w:t>
      </w:r>
      <w:r w:rsidRPr="00B82AB8">
        <w:t xml:space="preserve"> </w:t>
      </w:r>
      <w:r w:rsidRPr="00B82AB8">
        <w:rPr>
          <w:i/>
        </w:rPr>
        <w:t>Review of Financial Studie</w:t>
      </w:r>
      <w:r w:rsidR="00D86376">
        <w:rPr>
          <w:i/>
        </w:rPr>
        <w:t xml:space="preserve">s </w:t>
      </w:r>
      <w:r w:rsidRPr="00B82AB8">
        <w:t>23</w:t>
      </w:r>
      <w:r w:rsidR="00D86376">
        <w:t xml:space="preserve">(1): </w:t>
      </w:r>
      <w:r w:rsidRPr="00B82AB8">
        <w:t>147-168.</w:t>
      </w:r>
    </w:p>
    <w:p w14:paraId="178B95EC" w14:textId="5E6558DB" w:rsidR="00CB2AAF" w:rsidRPr="00B82AB8" w:rsidRDefault="00CB2AAF" w:rsidP="009A2C29">
      <w:pPr>
        <w:pStyle w:val="NoSpacing"/>
        <w:spacing w:after="0" w:line="360" w:lineRule="auto"/>
        <w:contextualSpacing/>
      </w:pPr>
      <w:proofErr w:type="spellStart"/>
      <w:r w:rsidRPr="00B82AB8">
        <w:t>Jegadeesh</w:t>
      </w:r>
      <w:proofErr w:type="spellEnd"/>
      <w:r w:rsidRPr="00B82AB8">
        <w:t xml:space="preserve">, N. and </w:t>
      </w:r>
      <w:r w:rsidR="00C67556" w:rsidRPr="00B82AB8">
        <w:t xml:space="preserve">S. </w:t>
      </w:r>
      <w:r w:rsidRPr="00B82AB8">
        <w:t>Titman</w:t>
      </w:r>
      <w:r w:rsidR="00D86376">
        <w:t xml:space="preserve">, 1993. </w:t>
      </w:r>
      <w:r w:rsidRPr="00B82AB8">
        <w:t>Returns to Buying Winners and Selling Losers: Implicati</w:t>
      </w:r>
      <w:r w:rsidR="00D86376">
        <w:t xml:space="preserve">ons for Stock Market Efficiency. </w:t>
      </w:r>
      <w:r w:rsidRPr="00B82AB8">
        <w:t xml:space="preserve"> </w:t>
      </w:r>
      <w:r w:rsidRPr="00B82AB8">
        <w:rPr>
          <w:i/>
        </w:rPr>
        <w:t>Journal of Finance</w:t>
      </w:r>
      <w:r w:rsidR="00D86376">
        <w:t xml:space="preserve"> </w:t>
      </w:r>
      <w:r w:rsidRPr="00B82AB8">
        <w:t>48</w:t>
      </w:r>
      <w:r w:rsidR="00D86376">
        <w:t xml:space="preserve">(1): </w:t>
      </w:r>
      <w:r w:rsidR="00C67556" w:rsidRPr="00B82AB8">
        <w:t xml:space="preserve">pp. </w:t>
      </w:r>
      <w:r w:rsidRPr="00B82AB8">
        <w:t>65-91.</w:t>
      </w:r>
    </w:p>
    <w:p w14:paraId="55EE8DA7" w14:textId="0007D354" w:rsidR="00CB2AAF" w:rsidRPr="00BF1CDC" w:rsidRDefault="00CB2AAF" w:rsidP="009A2C29">
      <w:pPr>
        <w:pStyle w:val="NoSpacing"/>
        <w:spacing w:after="0" w:line="360" w:lineRule="auto"/>
        <w:contextualSpacing/>
      </w:pPr>
      <w:proofErr w:type="spellStart"/>
      <w:r w:rsidRPr="00BF1CDC">
        <w:t>Lea</w:t>
      </w:r>
      <w:r w:rsidR="00D86376">
        <w:t>mer</w:t>
      </w:r>
      <w:proofErr w:type="spellEnd"/>
      <w:r w:rsidR="00D86376">
        <w:t xml:space="preserve">, E.E., 1983. </w:t>
      </w:r>
      <w:r w:rsidRPr="00BF1CDC">
        <w:t>Let’s T</w:t>
      </w:r>
      <w:r w:rsidR="00D86376">
        <w:t>ake the Con Out of Econometrics.</w:t>
      </w:r>
      <w:r w:rsidRPr="00BF1CDC">
        <w:t xml:space="preserve"> </w:t>
      </w:r>
      <w:r w:rsidRPr="00BF1CDC">
        <w:rPr>
          <w:i/>
        </w:rPr>
        <w:t>American Economic Review</w:t>
      </w:r>
      <w:r w:rsidR="00D86376">
        <w:t xml:space="preserve"> 73(1):</w:t>
      </w:r>
      <w:r w:rsidRPr="00BF1CDC">
        <w:t xml:space="preserve"> 31-43.</w:t>
      </w:r>
    </w:p>
    <w:p w14:paraId="64B891A8" w14:textId="495E6E35" w:rsidR="00CB2AAF" w:rsidRPr="00BF1CDC" w:rsidRDefault="00D86376" w:rsidP="009A2C29">
      <w:pPr>
        <w:pStyle w:val="NoSpacing"/>
        <w:spacing w:after="0" w:line="360" w:lineRule="auto"/>
        <w:contextualSpacing/>
      </w:pPr>
      <w:proofErr w:type="spellStart"/>
      <w:r>
        <w:t>Leamer</w:t>
      </w:r>
      <w:proofErr w:type="spellEnd"/>
      <w:r>
        <w:t>, E.E., 1985.  Sensitivity Analysis Would Help.</w:t>
      </w:r>
      <w:r w:rsidR="00CB2AAF" w:rsidRPr="00BF1CDC">
        <w:t xml:space="preserve"> </w:t>
      </w:r>
      <w:r w:rsidR="00CB2AAF" w:rsidRPr="00BF1CDC">
        <w:rPr>
          <w:i/>
        </w:rPr>
        <w:t>American Economic Review</w:t>
      </w:r>
      <w:r>
        <w:t xml:space="preserve"> 75(3):</w:t>
      </w:r>
      <w:r w:rsidR="00C67556" w:rsidRPr="00BF1CDC">
        <w:t xml:space="preserve"> </w:t>
      </w:r>
      <w:r w:rsidR="00CB2AAF" w:rsidRPr="00BF1CDC">
        <w:t>308-313.</w:t>
      </w:r>
    </w:p>
    <w:p w14:paraId="292326C6" w14:textId="5F15C152" w:rsidR="00CB2AAF" w:rsidRPr="00BF1CDC" w:rsidRDefault="00D86376" w:rsidP="009A2C29">
      <w:pPr>
        <w:pStyle w:val="NoSpacing"/>
        <w:spacing w:after="0" w:line="360" w:lineRule="auto"/>
        <w:contextualSpacing/>
      </w:pPr>
      <w:proofErr w:type="spellStart"/>
      <w:r>
        <w:t>Leamer</w:t>
      </w:r>
      <w:proofErr w:type="spellEnd"/>
      <w:r>
        <w:t xml:space="preserve">, E.E., 2010.  </w:t>
      </w:r>
      <w:proofErr w:type="gramStart"/>
      <w:r w:rsidR="00CB2AAF" w:rsidRPr="00BF1CDC">
        <w:t>Tantalus o</w:t>
      </w:r>
      <w:r>
        <w:t xml:space="preserve">n the Road to </w:t>
      </w:r>
      <w:proofErr w:type="spellStart"/>
      <w:r>
        <w:t>Asymptopia</w:t>
      </w:r>
      <w:proofErr w:type="spellEnd"/>
      <w:r>
        <w:t>.</w:t>
      </w:r>
      <w:proofErr w:type="gramEnd"/>
      <w:r>
        <w:t xml:space="preserve"> </w:t>
      </w:r>
      <w:r w:rsidR="00CB2AAF" w:rsidRPr="00BF1CDC">
        <w:t xml:space="preserve"> </w:t>
      </w:r>
      <w:proofErr w:type="gramStart"/>
      <w:r w:rsidR="00CB2AAF" w:rsidRPr="00BF1CDC">
        <w:rPr>
          <w:i/>
        </w:rPr>
        <w:t>Journal of Economic Perspective</w:t>
      </w:r>
      <w:r>
        <w:rPr>
          <w:i/>
        </w:rPr>
        <w:t xml:space="preserve"> </w:t>
      </w:r>
      <w:r>
        <w:t xml:space="preserve">24(2): </w:t>
      </w:r>
      <w:r w:rsidR="00CB2AAF" w:rsidRPr="00BF1CDC">
        <w:t>31-46.</w:t>
      </w:r>
      <w:proofErr w:type="gramEnd"/>
    </w:p>
    <w:p w14:paraId="5F838675" w14:textId="712C044A" w:rsidR="00CB2AAF" w:rsidRPr="00BF1CDC" w:rsidRDefault="00CB2AAF" w:rsidP="009A2C29">
      <w:pPr>
        <w:pStyle w:val="NoSpacing"/>
        <w:spacing w:after="0" w:line="360" w:lineRule="auto"/>
        <w:contextualSpacing/>
      </w:pPr>
      <w:proofErr w:type="spellStart"/>
      <w:r w:rsidRPr="00BF1CDC">
        <w:lastRenderedPageBreak/>
        <w:t>Leamer</w:t>
      </w:r>
      <w:proofErr w:type="spellEnd"/>
      <w:r w:rsidRPr="00BF1CDC">
        <w:t xml:space="preserve">, E.E. and </w:t>
      </w:r>
      <w:r w:rsidR="00C67556" w:rsidRPr="00BF1CDC">
        <w:t xml:space="preserve">H. </w:t>
      </w:r>
      <w:r w:rsidRPr="00BF1CDC">
        <w:t>Leonard</w:t>
      </w:r>
      <w:r w:rsidR="00337475">
        <w:t xml:space="preserve">, 1983. </w:t>
      </w:r>
      <w:r w:rsidRPr="00BF1CDC">
        <w:t>Reporting the Fr</w:t>
      </w:r>
      <w:r w:rsidR="00337475">
        <w:t>agility of Regression Estimates.</w:t>
      </w:r>
      <w:r w:rsidRPr="00BF1CDC">
        <w:t xml:space="preserve"> </w:t>
      </w:r>
      <w:r w:rsidRPr="00BF1CDC">
        <w:rPr>
          <w:i/>
        </w:rPr>
        <w:t>Review of Economics and Statistics</w:t>
      </w:r>
      <w:r w:rsidR="00337475">
        <w:t xml:space="preserve"> 65(2):</w:t>
      </w:r>
      <w:r w:rsidR="00C67556" w:rsidRPr="00BF1CDC">
        <w:t xml:space="preserve"> </w:t>
      </w:r>
      <w:r w:rsidRPr="00BF1CDC">
        <w:t>306-317.</w:t>
      </w:r>
    </w:p>
    <w:p w14:paraId="0C295764" w14:textId="2D04F322" w:rsidR="00CB2AAF" w:rsidRPr="00BF1CDC" w:rsidRDefault="00CB2AAF" w:rsidP="009A2C29">
      <w:pPr>
        <w:pStyle w:val="NoSpacing"/>
        <w:spacing w:after="0" w:line="360" w:lineRule="auto"/>
        <w:contextualSpacing/>
      </w:pPr>
      <w:r w:rsidRPr="00BF1CDC">
        <w:t>Lehmann, B.N.</w:t>
      </w:r>
      <w:r w:rsidR="00337475">
        <w:t xml:space="preserve">, </w:t>
      </w:r>
      <w:r w:rsidR="00C67556" w:rsidRPr="00BF1CDC">
        <w:t>1</w:t>
      </w:r>
      <w:r w:rsidR="00337475">
        <w:t xml:space="preserve">990. </w:t>
      </w:r>
      <w:proofErr w:type="gramStart"/>
      <w:r w:rsidR="00337475">
        <w:t>Residual Risk Revisited.</w:t>
      </w:r>
      <w:proofErr w:type="gramEnd"/>
      <w:r w:rsidR="00337475">
        <w:t xml:space="preserve"> </w:t>
      </w:r>
      <w:r w:rsidRPr="00BF1CDC">
        <w:t xml:space="preserve"> </w:t>
      </w:r>
      <w:r w:rsidRPr="00BF1CDC">
        <w:rPr>
          <w:i/>
        </w:rPr>
        <w:t>Journal of Econometrics</w:t>
      </w:r>
      <w:r w:rsidR="00337475">
        <w:t xml:space="preserve"> 45(1):</w:t>
      </w:r>
      <w:r w:rsidR="00C67556" w:rsidRPr="00BF1CDC">
        <w:t xml:space="preserve"> </w:t>
      </w:r>
      <w:r w:rsidRPr="00BF1CDC">
        <w:t>71-97.</w:t>
      </w:r>
    </w:p>
    <w:p w14:paraId="0BEFE67C" w14:textId="2C94D0E2" w:rsidR="00CB2AAF" w:rsidRPr="00B82AB8" w:rsidRDefault="00CB2AAF" w:rsidP="009A2C29">
      <w:pPr>
        <w:pStyle w:val="NoSpacing"/>
        <w:spacing w:after="0" w:line="360" w:lineRule="auto"/>
        <w:contextualSpacing/>
      </w:pPr>
      <w:proofErr w:type="spellStart"/>
      <w:r w:rsidRPr="00B82AB8">
        <w:t>Malevergne</w:t>
      </w:r>
      <w:proofErr w:type="spellEnd"/>
      <w:r w:rsidRPr="00B82AB8">
        <w:t xml:space="preserve">, Y., P. Santa-Clara, and D. </w:t>
      </w:r>
      <w:proofErr w:type="spellStart"/>
      <w:r w:rsidRPr="00B82AB8">
        <w:t>Sornette</w:t>
      </w:r>
      <w:proofErr w:type="spellEnd"/>
      <w:r w:rsidR="00337475">
        <w:t>, 2009. P</w:t>
      </w:r>
      <w:r w:rsidRPr="00B82AB8">
        <w:t>ro</w:t>
      </w:r>
      <w:r w:rsidR="00337475">
        <w:t xml:space="preserve">fessor </w:t>
      </w:r>
      <w:proofErr w:type="spellStart"/>
      <w:r w:rsidR="00337475">
        <w:t>Zipf</w:t>
      </w:r>
      <w:proofErr w:type="spellEnd"/>
      <w:r w:rsidR="00337475">
        <w:t xml:space="preserve"> Goes to Wall Street.</w:t>
      </w:r>
      <w:r w:rsidRPr="00B82AB8">
        <w:t xml:space="preserve"> NBER Working Paper, NBER (available at NBER: http://www.nber.org/papers/w15295).</w:t>
      </w:r>
    </w:p>
    <w:p w14:paraId="3054C47B" w14:textId="50959090" w:rsidR="00CB2AAF" w:rsidRPr="00BF1CDC" w:rsidRDefault="00CB2AAF" w:rsidP="009A2C29">
      <w:pPr>
        <w:pStyle w:val="NoSpacing"/>
        <w:spacing w:after="0" w:line="360" w:lineRule="auto"/>
        <w:contextualSpacing/>
      </w:pPr>
      <w:proofErr w:type="spellStart"/>
      <w:r w:rsidRPr="00BF1CDC">
        <w:t>Newey</w:t>
      </w:r>
      <w:proofErr w:type="spellEnd"/>
      <w:r w:rsidRPr="00BF1CDC">
        <w:t>, W.K. and</w:t>
      </w:r>
      <w:r w:rsidR="00B82AB8" w:rsidRPr="00BF1CDC">
        <w:t xml:space="preserve"> K.D.</w:t>
      </w:r>
      <w:r w:rsidRPr="00BF1CDC">
        <w:t xml:space="preserve"> West</w:t>
      </w:r>
      <w:r w:rsidR="00337475">
        <w:t xml:space="preserve">, 1987. </w:t>
      </w:r>
      <w:r w:rsidRPr="00BF1CDC">
        <w:t xml:space="preserve">A Simple Positive-Definite </w:t>
      </w:r>
      <w:proofErr w:type="spellStart"/>
      <w:r w:rsidRPr="00BF1CDC">
        <w:t>Heteroskedasticity</w:t>
      </w:r>
      <w:proofErr w:type="spellEnd"/>
      <w:r w:rsidRPr="00BF1CDC">
        <w:t xml:space="preserve"> and Autocorrelati</w:t>
      </w:r>
      <w:r w:rsidR="00337475">
        <w:t>on Consistent Covariance Matrix.</w:t>
      </w:r>
      <w:r w:rsidRPr="00BF1CDC">
        <w:t xml:space="preserve"> </w:t>
      </w:r>
      <w:proofErr w:type="spellStart"/>
      <w:r w:rsidRPr="00BF1CDC">
        <w:rPr>
          <w:i/>
        </w:rPr>
        <w:t>Econometrica</w:t>
      </w:r>
      <w:proofErr w:type="spellEnd"/>
      <w:r w:rsidR="00337475">
        <w:t xml:space="preserve"> 55(3): </w:t>
      </w:r>
      <w:r w:rsidRPr="00BF1CDC">
        <w:t>703-708.</w:t>
      </w:r>
    </w:p>
    <w:p w14:paraId="5DFCCC03" w14:textId="526CA69B" w:rsidR="00CB2AAF" w:rsidRPr="00BF1CDC" w:rsidRDefault="00D731E8" w:rsidP="009A2C29">
      <w:pPr>
        <w:pStyle w:val="NoSpacing"/>
        <w:spacing w:after="0" w:line="360" w:lineRule="auto"/>
        <w:contextualSpacing/>
      </w:pPr>
      <w:proofErr w:type="spellStart"/>
      <w:proofErr w:type="gramStart"/>
      <w:r>
        <w:t>Pasquariello</w:t>
      </w:r>
      <w:proofErr w:type="spellEnd"/>
      <w:r>
        <w:t>, P., 2014.</w:t>
      </w:r>
      <w:proofErr w:type="gramEnd"/>
      <w:r>
        <w:t xml:space="preserve"> </w:t>
      </w:r>
      <w:proofErr w:type="gramStart"/>
      <w:r>
        <w:t>Financial Market Dislocation.</w:t>
      </w:r>
      <w:proofErr w:type="gramEnd"/>
      <w:r w:rsidR="00CB2AAF" w:rsidRPr="00BF1CDC">
        <w:t xml:space="preserve"> </w:t>
      </w:r>
      <w:r w:rsidR="00CB2AAF" w:rsidRPr="00BF1CDC">
        <w:rPr>
          <w:i/>
        </w:rPr>
        <w:t>Review of Financial Studies</w:t>
      </w:r>
      <w:r>
        <w:t xml:space="preserve"> 27(6):</w:t>
      </w:r>
      <w:r w:rsidR="00C67556" w:rsidRPr="00BF1CDC">
        <w:t xml:space="preserve"> </w:t>
      </w:r>
      <w:r w:rsidR="00CB2AAF" w:rsidRPr="00BF1CDC">
        <w:t>1868-1914.</w:t>
      </w:r>
    </w:p>
    <w:p w14:paraId="0E8FB428" w14:textId="38564239" w:rsidR="00CB2AAF" w:rsidRPr="00BF1CDC" w:rsidRDefault="00CB2AAF" w:rsidP="009A2C29">
      <w:pPr>
        <w:pStyle w:val="NoSpacing"/>
        <w:spacing w:after="0" w:line="360" w:lineRule="auto"/>
        <w:contextualSpacing/>
      </w:pPr>
      <w:r w:rsidRPr="00BF1CDC">
        <w:t xml:space="preserve">Peterson, D.R. and </w:t>
      </w:r>
      <w:r w:rsidR="00B82AB8" w:rsidRPr="00BF1CDC">
        <w:t xml:space="preserve">A.R. </w:t>
      </w:r>
      <w:proofErr w:type="spellStart"/>
      <w:r w:rsidRPr="00BF1CDC">
        <w:t>Smedema</w:t>
      </w:r>
      <w:proofErr w:type="spellEnd"/>
      <w:r w:rsidR="00D731E8">
        <w:t>,</w:t>
      </w:r>
      <w:r w:rsidRPr="00BF1CDC">
        <w:t xml:space="preserve"> </w:t>
      </w:r>
      <w:r w:rsidR="00D731E8">
        <w:t xml:space="preserve">2011. </w:t>
      </w:r>
      <w:proofErr w:type="gramStart"/>
      <w:r w:rsidRPr="00BF1CDC">
        <w:t>The Return Impact of Realized and Expected Idiosyncratic Vo</w:t>
      </w:r>
      <w:r w:rsidR="00D731E8">
        <w:t>latility.</w:t>
      </w:r>
      <w:proofErr w:type="gramEnd"/>
      <w:r w:rsidR="00D731E8">
        <w:t xml:space="preserve"> </w:t>
      </w:r>
      <w:r w:rsidRPr="00BF1CDC">
        <w:t xml:space="preserve"> </w:t>
      </w:r>
      <w:r w:rsidRPr="00BF1CDC">
        <w:rPr>
          <w:i/>
        </w:rPr>
        <w:t>Journal of Banking &amp; Finance</w:t>
      </w:r>
      <w:r w:rsidR="00D731E8">
        <w:t xml:space="preserve"> 35(</w:t>
      </w:r>
      <w:r w:rsidR="00C67556" w:rsidRPr="00BF1CDC">
        <w:t>1</w:t>
      </w:r>
      <w:r w:rsidR="00BF1CDC" w:rsidRPr="00BF1CDC">
        <w:t>0</w:t>
      </w:r>
      <w:r w:rsidR="00D731E8">
        <w:t xml:space="preserve">): </w:t>
      </w:r>
      <w:r w:rsidRPr="00BF1CDC">
        <w:t>2547-2558.</w:t>
      </w:r>
    </w:p>
    <w:p w14:paraId="0AC2737A" w14:textId="0A0DFC50" w:rsidR="00CB2AAF" w:rsidRPr="00774217" w:rsidRDefault="00B82AB8" w:rsidP="009A2C29">
      <w:pPr>
        <w:pStyle w:val="NoSpacing"/>
        <w:spacing w:after="0" w:line="360" w:lineRule="auto"/>
        <w:contextualSpacing/>
      </w:pPr>
      <w:r w:rsidRPr="00774217">
        <w:t>P</w:t>
      </w:r>
      <w:r w:rsidR="00D731E8">
        <w:t xml:space="preserve">eterson, D.R. and A.R. </w:t>
      </w:r>
      <w:proofErr w:type="spellStart"/>
      <w:r w:rsidR="00D731E8">
        <w:t>Smedema</w:t>
      </w:r>
      <w:proofErr w:type="spellEnd"/>
      <w:r w:rsidR="00D731E8">
        <w:t xml:space="preserve">, 2013. </w:t>
      </w:r>
      <w:r w:rsidR="00CB2AAF" w:rsidRPr="00774217">
        <w:t>Idiosyncratic Volatility Covari</w:t>
      </w:r>
      <w:r w:rsidR="00D731E8">
        <w:t>ance and Expected Stock Returns.</w:t>
      </w:r>
      <w:r w:rsidR="00CB2AAF" w:rsidRPr="00774217">
        <w:t xml:space="preserve"> </w:t>
      </w:r>
      <w:r w:rsidR="00CB2AAF" w:rsidRPr="00774217">
        <w:rPr>
          <w:i/>
        </w:rPr>
        <w:t>Financial Management</w:t>
      </w:r>
      <w:r w:rsidR="00D731E8">
        <w:t xml:space="preserve"> </w:t>
      </w:r>
      <w:r w:rsidR="00CB2AAF" w:rsidRPr="00774217">
        <w:t>42</w:t>
      </w:r>
      <w:r w:rsidR="00D731E8">
        <w:t xml:space="preserve">(2): </w:t>
      </w:r>
      <w:r w:rsidR="00CB2AAF" w:rsidRPr="00774217">
        <w:t>417-536.</w:t>
      </w:r>
    </w:p>
    <w:p w14:paraId="7D29E104" w14:textId="2344DC60" w:rsidR="00B82AB8" w:rsidRDefault="00CB2AAF" w:rsidP="00B82AB8">
      <w:pPr>
        <w:pStyle w:val="NoSpacing"/>
        <w:spacing w:after="0" w:line="360" w:lineRule="auto"/>
        <w:contextualSpacing/>
      </w:pPr>
      <w:proofErr w:type="spellStart"/>
      <w:proofErr w:type="gramStart"/>
      <w:r w:rsidRPr="00BF1CDC">
        <w:t>Sala</w:t>
      </w:r>
      <w:proofErr w:type="spellEnd"/>
      <w:r w:rsidRPr="00BF1CDC">
        <w:t>-I-Martin, X.X.</w:t>
      </w:r>
      <w:r w:rsidR="00D731E8">
        <w:t>,</w:t>
      </w:r>
      <w:r w:rsidRPr="00BF1CDC">
        <w:t xml:space="preserve"> </w:t>
      </w:r>
      <w:r w:rsidR="00D731E8">
        <w:t>1997.</w:t>
      </w:r>
      <w:proofErr w:type="gramEnd"/>
      <w:r w:rsidRPr="00BF1CDC">
        <w:t xml:space="preserve"> </w:t>
      </w:r>
      <w:proofErr w:type="gramStart"/>
      <w:r w:rsidRPr="00BF1CDC">
        <w:t>I J</w:t>
      </w:r>
      <w:r w:rsidR="00D731E8">
        <w:t>ust Ran Two Million Regressions.</w:t>
      </w:r>
      <w:proofErr w:type="gramEnd"/>
      <w:r w:rsidRPr="00BF1CDC">
        <w:t xml:space="preserve"> </w:t>
      </w:r>
      <w:r w:rsidRPr="00BF1CDC">
        <w:rPr>
          <w:i/>
        </w:rPr>
        <w:t>American Economic Review</w:t>
      </w:r>
      <w:r w:rsidR="00D731E8">
        <w:t xml:space="preserve"> 87(2):</w:t>
      </w:r>
      <w:r w:rsidR="00C67556" w:rsidRPr="00BF1CDC">
        <w:t xml:space="preserve"> 1</w:t>
      </w:r>
      <w:r w:rsidR="00B82AB8" w:rsidRPr="00BF1CDC">
        <w:t>78-183.</w:t>
      </w:r>
    </w:p>
    <w:p w14:paraId="08E623A1" w14:textId="77777777" w:rsidR="00B82AB8" w:rsidRDefault="00B82AB8" w:rsidP="00B82AB8">
      <w:pPr>
        <w:pStyle w:val="NoSpacing"/>
        <w:spacing w:after="0" w:line="360" w:lineRule="auto"/>
        <w:contextualSpacing/>
      </w:pPr>
    </w:p>
    <w:p w14:paraId="5CFB2668" w14:textId="77777777" w:rsidR="00B82AB8" w:rsidRDefault="00B82AB8" w:rsidP="00B82AB8">
      <w:pPr>
        <w:pStyle w:val="NoSpacing"/>
        <w:spacing w:after="0" w:line="360" w:lineRule="auto"/>
        <w:contextualSpacing/>
      </w:pPr>
    </w:p>
    <w:p w14:paraId="4ECA68F7" w14:textId="77777777" w:rsidR="00B82AB8" w:rsidRDefault="00B82AB8" w:rsidP="00B82AB8">
      <w:pPr>
        <w:pStyle w:val="NoSpacing"/>
        <w:spacing w:after="0" w:line="360" w:lineRule="auto"/>
        <w:contextualSpacing/>
      </w:pPr>
    </w:p>
    <w:p w14:paraId="055C179D" w14:textId="77777777" w:rsidR="00B82AB8" w:rsidRDefault="00B82AB8" w:rsidP="00B82AB8">
      <w:pPr>
        <w:pStyle w:val="NoSpacing"/>
        <w:spacing w:after="0" w:line="360" w:lineRule="auto"/>
        <w:contextualSpacing/>
      </w:pPr>
    </w:p>
    <w:p w14:paraId="1501C028" w14:textId="77777777" w:rsidR="00B82AB8" w:rsidRDefault="00B82AB8" w:rsidP="00B82AB8">
      <w:pPr>
        <w:pStyle w:val="NoSpacing"/>
        <w:spacing w:after="0" w:line="360" w:lineRule="auto"/>
        <w:contextualSpacing/>
      </w:pPr>
    </w:p>
    <w:p w14:paraId="58F5E7A9" w14:textId="77777777" w:rsidR="00B82AB8" w:rsidRPr="001E192F" w:rsidRDefault="00B82AB8" w:rsidP="00B82AB8">
      <w:pPr>
        <w:pStyle w:val="NoSpacing"/>
        <w:spacing w:after="0" w:line="360" w:lineRule="auto"/>
        <w:contextualSpacing/>
        <w:rPr>
          <w:szCs w:val="24"/>
        </w:rPr>
        <w:sectPr w:rsidR="00B82AB8" w:rsidRPr="001E192F" w:rsidSect="00F05C2D">
          <w:footerReference w:type="default" r:id="rId8"/>
          <w:pgSz w:w="12240" w:h="15840"/>
          <w:pgMar w:top="1440" w:right="1440" w:bottom="1440" w:left="1440" w:header="720" w:footer="720" w:gutter="0"/>
          <w:pgNumType w:start="0"/>
          <w:cols w:space="720"/>
          <w:titlePg/>
          <w:docGrid w:linePitch="360"/>
        </w:sectPr>
      </w:pPr>
    </w:p>
    <w:tbl>
      <w:tblPr>
        <w:tblStyle w:val="TableGrid"/>
        <w:tblW w:w="10548"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9"/>
        <w:gridCol w:w="1278"/>
        <w:gridCol w:w="1368"/>
        <w:gridCol w:w="1368"/>
        <w:gridCol w:w="1368"/>
        <w:gridCol w:w="1368"/>
        <w:gridCol w:w="1368"/>
        <w:gridCol w:w="581"/>
      </w:tblGrid>
      <w:tr w:rsidR="004633E6" w:rsidRPr="001E192F" w14:paraId="301EF747" w14:textId="77777777" w:rsidTr="00F77E93">
        <w:tc>
          <w:tcPr>
            <w:tcW w:w="10548" w:type="dxa"/>
            <w:gridSpan w:val="8"/>
          </w:tcPr>
          <w:p w14:paraId="4400CDF1" w14:textId="77777777" w:rsidR="004633E6" w:rsidRPr="001E192F" w:rsidRDefault="004633E6" w:rsidP="009A2C29">
            <w:pPr>
              <w:spacing w:after="0" w:line="240" w:lineRule="auto"/>
              <w:ind w:hanging="18"/>
              <w:jc w:val="center"/>
              <w:rPr>
                <w:b/>
                <w:szCs w:val="24"/>
              </w:rPr>
            </w:pPr>
            <w:r w:rsidRPr="001E192F">
              <w:rPr>
                <w:b/>
                <w:szCs w:val="24"/>
              </w:rPr>
              <w:lastRenderedPageBreak/>
              <w:t>Table 1</w:t>
            </w:r>
          </w:p>
          <w:p w14:paraId="687ED123" w14:textId="1237D73D" w:rsidR="004633E6" w:rsidRPr="001E192F" w:rsidRDefault="004633E6" w:rsidP="009A2C29">
            <w:pPr>
              <w:pStyle w:val="Heading2"/>
              <w:outlineLvl w:val="1"/>
            </w:pPr>
            <w:r w:rsidRPr="001E192F">
              <w:t xml:space="preserve">Benchmark Alphas </w:t>
            </w:r>
            <w:r w:rsidR="00A4179C" w:rsidRPr="001E192F">
              <w:t xml:space="preserve">(%) </w:t>
            </w:r>
            <w:r w:rsidRPr="001E192F">
              <w:t>for Idiosyncratic Volatility-Sorted Portfolios</w:t>
            </w:r>
          </w:p>
          <w:p w14:paraId="6DE97449" w14:textId="22E34DB1" w:rsidR="001C33C8" w:rsidRPr="001E192F" w:rsidRDefault="001C33C8" w:rsidP="009A2C29">
            <w:pPr>
              <w:spacing w:after="0" w:line="240" w:lineRule="auto"/>
              <w:jc w:val="center"/>
              <w:rPr>
                <w:b/>
                <w:szCs w:val="24"/>
              </w:rPr>
            </w:pPr>
          </w:p>
        </w:tc>
      </w:tr>
      <w:tr w:rsidR="004633E6" w:rsidRPr="001E192F" w14:paraId="35E67826" w14:textId="77777777" w:rsidTr="00F77E93">
        <w:trPr>
          <w:gridAfter w:val="1"/>
          <w:wAfter w:w="581" w:type="dxa"/>
          <w:trHeight w:val="350"/>
        </w:trPr>
        <w:tc>
          <w:tcPr>
            <w:tcW w:w="1849" w:type="dxa"/>
            <w:tcBorders>
              <w:top w:val="single" w:sz="4" w:space="0" w:color="auto"/>
              <w:bottom w:val="single" w:sz="4" w:space="0" w:color="auto"/>
            </w:tcBorders>
          </w:tcPr>
          <w:p w14:paraId="2F0121DB" w14:textId="77777777" w:rsidR="004633E6" w:rsidRPr="001E192F" w:rsidRDefault="004633E6" w:rsidP="009A2C29">
            <w:pPr>
              <w:spacing w:after="0" w:line="240" w:lineRule="auto"/>
              <w:ind w:firstLine="0"/>
              <w:jc w:val="center"/>
              <w:rPr>
                <w:szCs w:val="24"/>
              </w:rPr>
            </w:pPr>
          </w:p>
        </w:tc>
        <w:tc>
          <w:tcPr>
            <w:tcW w:w="1278" w:type="dxa"/>
            <w:tcBorders>
              <w:top w:val="single" w:sz="4" w:space="0" w:color="auto"/>
              <w:bottom w:val="single" w:sz="4" w:space="0" w:color="auto"/>
            </w:tcBorders>
          </w:tcPr>
          <w:p w14:paraId="597C97D6" w14:textId="77777777" w:rsidR="004633E6" w:rsidRPr="001E192F" w:rsidRDefault="004633E6" w:rsidP="009A2C29">
            <w:pPr>
              <w:spacing w:after="0" w:line="240" w:lineRule="auto"/>
              <w:ind w:firstLine="0"/>
              <w:jc w:val="center"/>
              <w:rPr>
                <w:szCs w:val="24"/>
              </w:rPr>
            </w:pPr>
            <w:r w:rsidRPr="001E192F">
              <w:rPr>
                <w:szCs w:val="24"/>
              </w:rPr>
              <w:t>L</w:t>
            </w:r>
          </w:p>
        </w:tc>
        <w:tc>
          <w:tcPr>
            <w:tcW w:w="1368" w:type="dxa"/>
            <w:tcBorders>
              <w:top w:val="single" w:sz="4" w:space="0" w:color="auto"/>
              <w:bottom w:val="single" w:sz="4" w:space="0" w:color="auto"/>
            </w:tcBorders>
          </w:tcPr>
          <w:p w14:paraId="1BD9DF4F" w14:textId="77777777" w:rsidR="004633E6" w:rsidRPr="001E192F" w:rsidRDefault="004633E6" w:rsidP="009A2C29">
            <w:pPr>
              <w:spacing w:after="0" w:line="240" w:lineRule="auto"/>
              <w:ind w:firstLine="0"/>
              <w:jc w:val="center"/>
              <w:rPr>
                <w:szCs w:val="24"/>
              </w:rPr>
            </w:pPr>
            <w:r w:rsidRPr="001E192F">
              <w:rPr>
                <w:szCs w:val="24"/>
              </w:rPr>
              <w:t>ML</w:t>
            </w:r>
          </w:p>
        </w:tc>
        <w:tc>
          <w:tcPr>
            <w:tcW w:w="1368" w:type="dxa"/>
            <w:tcBorders>
              <w:top w:val="single" w:sz="4" w:space="0" w:color="auto"/>
              <w:bottom w:val="single" w:sz="4" w:space="0" w:color="auto"/>
            </w:tcBorders>
          </w:tcPr>
          <w:p w14:paraId="1058A920" w14:textId="77777777" w:rsidR="004633E6" w:rsidRPr="001E192F" w:rsidRDefault="004633E6" w:rsidP="009A2C29">
            <w:pPr>
              <w:spacing w:after="0" w:line="240" w:lineRule="auto"/>
              <w:ind w:firstLine="0"/>
              <w:jc w:val="center"/>
              <w:rPr>
                <w:szCs w:val="24"/>
              </w:rPr>
            </w:pPr>
            <w:r w:rsidRPr="001E192F">
              <w:rPr>
                <w:szCs w:val="24"/>
              </w:rPr>
              <w:t>M</w:t>
            </w:r>
          </w:p>
        </w:tc>
        <w:tc>
          <w:tcPr>
            <w:tcW w:w="1368" w:type="dxa"/>
            <w:tcBorders>
              <w:top w:val="single" w:sz="4" w:space="0" w:color="auto"/>
              <w:bottom w:val="single" w:sz="4" w:space="0" w:color="auto"/>
            </w:tcBorders>
          </w:tcPr>
          <w:p w14:paraId="345CF8C8" w14:textId="77777777" w:rsidR="004633E6" w:rsidRPr="001E192F" w:rsidRDefault="004633E6" w:rsidP="009A2C29">
            <w:pPr>
              <w:spacing w:after="0" w:line="240" w:lineRule="auto"/>
              <w:ind w:firstLine="0"/>
              <w:jc w:val="center"/>
              <w:rPr>
                <w:szCs w:val="24"/>
              </w:rPr>
            </w:pPr>
            <w:r w:rsidRPr="001E192F">
              <w:rPr>
                <w:szCs w:val="24"/>
              </w:rPr>
              <w:t>MH</w:t>
            </w:r>
          </w:p>
        </w:tc>
        <w:tc>
          <w:tcPr>
            <w:tcW w:w="1368" w:type="dxa"/>
            <w:tcBorders>
              <w:top w:val="single" w:sz="4" w:space="0" w:color="auto"/>
              <w:bottom w:val="single" w:sz="4" w:space="0" w:color="auto"/>
            </w:tcBorders>
          </w:tcPr>
          <w:p w14:paraId="6DC0E76C" w14:textId="77777777" w:rsidR="004633E6" w:rsidRPr="001E192F" w:rsidRDefault="004633E6" w:rsidP="009A2C29">
            <w:pPr>
              <w:spacing w:after="0" w:line="240" w:lineRule="auto"/>
              <w:ind w:firstLine="0"/>
              <w:jc w:val="center"/>
              <w:rPr>
                <w:szCs w:val="24"/>
              </w:rPr>
            </w:pPr>
            <w:r w:rsidRPr="001E192F">
              <w:rPr>
                <w:szCs w:val="24"/>
              </w:rPr>
              <w:t>H</w:t>
            </w:r>
          </w:p>
        </w:tc>
        <w:tc>
          <w:tcPr>
            <w:tcW w:w="1368" w:type="dxa"/>
            <w:tcBorders>
              <w:top w:val="single" w:sz="4" w:space="0" w:color="auto"/>
              <w:bottom w:val="single" w:sz="4" w:space="0" w:color="auto"/>
            </w:tcBorders>
          </w:tcPr>
          <w:p w14:paraId="1C7B011D" w14:textId="77777777" w:rsidR="004633E6" w:rsidRPr="001E192F" w:rsidRDefault="004633E6" w:rsidP="009A2C29">
            <w:pPr>
              <w:spacing w:after="0" w:line="240" w:lineRule="auto"/>
              <w:ind w:firstLine="0"/>
              <w:jc w:val="center"/>
              <w:rPr>
                <w:szCs w:val="24"/>
              </w:rPr>
            </w:pPr>
            <w:r w:rsidRPr="001E192F">
              <w:rPr>
                <w:szCs w:val="24"/>
              </w:rPr>
              <w:t>H-L</w:t>
            </w:r>
          </w:p>
        </w:tc>
      </w:tr>
      <w:tr w:rsidR="004D7E32" w:rsidRPr="001E192F" w14:paraId="54E5AA79" w14:textId="77777777" w:rsidTr="00F77E93">
        <w:trPr>
          <w:gridAfter w:val="1"/>
          <w:wAfter w:w="581" w:type="dxa"/>
        </w:trPr>
        <w:tc>
          <w:tcPr>
            <w:tcW w:w="1849" w:type="dxa"/>
            <w:tcBorders>
              <w:top w:val="single" w:sz="4" w:space="0" w:color="auto"/>
            </w:tcBorders>
          </w:tcPr>
          <w:p w14:paraId="659C0FA3" w14:textId="77777777" w:rsidR="004D7E32" w:rsidRPr="001E192F" w:rsidRDefault="004D7E32" w:rsidP="009A2C29">
            <w:pPr>
              <w:pStyle w:val="TableBody"/>
              <w:rPr>
                <w:szCs w:val="24"/>
              </w:rPr>
            </w:pPr>
            <w:r w:rsidRPr="001E192F">
              <w:rPr>
                <w:szCs w:val="24"/>
              </w:rPr>
              <w:t>Replication</w:t>
            </w:r>
          </w:p>
        </w:tc>
        <w:tc>
          <w:tcPr>
            <w:tcW w:w="1278" w:type="dxa"/>
            <w:tcBorders>
              <w:top w:val="single" w:sz="4" w:space="0" w:color="auto"/>
            </w:tcBorders>
            <w:vAlign w:val="bottom"/>
          </w:tcPr>
          <w:p w14:paraId="2F10C525" w14:textId="6C13D25E" w:rsidR="004D7E32" w:rsidRPr="001E192F" w:rsidRDefault="004D7E32" w:rsidP="009A2C29">
            <w:pPr>
              <w:pStyle w:val="TableBody"/>
              <w:tabs>
                <w:tab w:val="clear" w:pos="360"/>
                <w:tab w:val="decimal" w:pos="293"/>
              </w:tabs>
              <w:rPr>
                <w:szCs w:val="24"/>
              </w:rPr>
            </w:pPr>
            <w:r w:rsidRPr="001E192F">
              <w:rPr>
                <w:color w:val="000000"/>
                <w:szCs w:val="24"/>
              </w:rPr>
              <w:t>0.101**</w:t>
            </w:r>
          </w:p>
        </w:tc>
        <w:tc>
          <w:tcPr>
            <w:tcW w:w="1368" w:type="dxa"/>
            <w:tcBorders>
              <w:top w:val="single" w:sz="4" w:space="0" w:color="auto"/>
            </w:tcBorders>
            <w:vAlign w:val="bottom"/>
          </w:tcPr>
          <w:p w14:paraId="3167E99E" w14:textId="2381BD72" w:rsidR="004D7E32" w:rsidRPr="001E192F" w:rsidRDefault="004D7E32" w:rsidP="009A2C29">
            <w:pPr>
              <w:pStyle w:val="TableBody"/>
              <w:tabs>
                <w:tab w:val="clear" w:pos="360"/>
                <w:tab w:val="decimal" w:pos="293"/>
              </w:tabs>
              <w:rPr>
                <w:szCs w:val="24"/>
              </w:rPr>
            </w:pPr>
            <w:r w:rsidRPr="001E192F">
              <w:rPr>
                <w:color w:val="000000"/>
                <w:szCs w:val="24"/>
              </w:rPr>
              <w:t>0.116*</w:t>
            </w:r>
          </w:p>
        </w:tc>
        <w:tc>
          <w:tcPr>
            <w:tcW w:w="1368" w:type="dxa"/>
            <w:tcBorders>
              <w:top w:val="single" w:sz="4" w:space="0" w:color="auto"/>
            </w:tcBorders>
            <w:vAlign w:val="bottom"/>
          </w:tcPr>
          <w:p w14:paraId="7A7A2FAE" w14:textId="10B77FBB" w:rsidR="004D7E32" w:rsidRPr="001E192F" w:rsidRDefault="004D7E32" w:rsidP="009A2C29">
            <w:pPr>
              <w:pStyle w:val="TableBody"/>
              <w:tabs>
                <w:tab w:val="clear" w:pos="360"/>
                <w:tab w:val="decimal" w:pos="293"/>
              </w:tabs>
              <w:rPr>
                <w:szCs w:val="24"/>
              </w:rPr>
            </w:pPr>
            <w:r w:rsidRPr="001E192F">
              <w:rPr>
                <w:color w:val="000000"/>
                <w:szCs w:val="24"/>
              </w:rPr>
              <w:t>0.063</w:t>
            </w:r>
          </w:p>
        </w:tc>
        <w:tc>
          <w:tcPr>
            <w:tcW w:w="1368" w:type="dxa"/>
            <w:tcBorders>
              <w:top w:val="single" w:sz="4" w:space="0" w:color="auto"/>
            </w:tcBorders>
            <w:vAlign w:val="bottom"/>
          </w:tcPr>
          <w:p w14:paraId="3C842BE2" w14:textId="5FDFC68C" w:rsidR="004D7E32" w:rsidRPr="001E192F" w:rsidRDefault="004D7E32" w:rsidP="009A2C29">
            <w:pPr>
              <w:pStyle w:val="TableBody"/>
              <w:tabs>
                <w:tab w:val="clear" w:pos="360"/>
                <w:tab w:val="decimal" w:pos="293"/>
              </w:tabs>
              <w:rPr>
                <w:szCs w:val="24"/>
              </w:rPr>
            </w:pPr>
            <w:r w:rsidRPr="001E192F">
              <w:rPr>
                <w:color w:val="000000"/>
                <w:szCs w:val="24"/>
              </w:rPr>
              <w:t>-0.278***</w:t>
            </w:r>
          </w:p>
        </w:tc>
        <w:tc>
          <w:tcPr>
            <w:tcW w:w="1368" w:type="dxa"/>
            <w:tcBorders>
              <w:top w:val="single" w:sz="4" w:space="0" w:color="auto"/>
            </w:tcBorders>
            <w:vAlign w:val="bottom"/>
          </w:tcPr>
          <w:p w14:paraId="359458BD" w14:textId="31B03FDD" w:rsidR="004D7E32" w:rsidRPr="001E192F" w:rsidRDefault="004D7E32" w:rsidP="009A2C29">
            <w:pPr>
              <w:pStyle w:val="TableBody"/>
              <w:tabs>
                <w:tab w:val="clear" w:pos="360"/>
                <w:tab w:val="decimal" w:pos="293"/>
              </w:tabs>
              <w:rPr>
                <w:szCs w:val="24"/>
              </w:rPr>
            </w:pPr>
            <w:r w:rsidRPr="001E192F">
              <w:rPr>
                <w:color w:val="000000"/>
                <w:szCs w:val="24"/>
              </w:rPr>
              <w:t>-1.271***</w:t>
            </w:r>
          </w:p>
        </w:tc>
        <w:tc>
          <w:tcPr>
            <w:tcW w:w="1368" w:type="dxa"/>
            <w:tcBorders>
              <w:top w:val="single" w:sz="4" w:space="0" w:color="auto"/>
            </w:tcBorders>
            <w:vAlign w:val="bottom"/>
          </w:tcPr>
          <w:p w14:paraId="171D2A1F" w14:textId="70370F45" w:rsidR="004D7E32" w:rsidRPr="001E192F" w:rsidRDefault="004D7E32" w:rsidP="009A2C29">
            <w:pPr>
              <w:pStyle w:val="TableBody"/>
              <w:tabs>
                <w:tab w:val="clear" w:pos="360"/>
                <w:tab w:val="decimal" w:pos="293"/>
              </w:tabs>
              <w:rPr>
                <w:szCs w:val="24"/>
              </w:rPr>
            </w:pPr>
            <w:r w:rsidRPr="001E192F">
              <w:rPr>
                <w:color w:val="000000"/>
                <w:szCs w:val="24"/>
              </w:rPr>
              <w:t>-1.372***</w:t>
            </w:r>
          </w:p>
        </w:tc>
      </w:tr>
      <w:tr w:rsidR="004D7E32" w:rsidRPr="001E192F" w14:paraId="3B365F1C" w14:textId="77777777" w:rsidTr="00F77E93">
        <w:trPr>
          <w:gridAfter w:val="1"/>
          <w:wAfter w:w="581" w:type="dxa"/>
        </w:trPr>
        <w:tc>
          <w:tcPr>
            <w:tcW w:w="1849" w:type="dxa"/>
          </w:tcPr>
          <w:p w14:paraId="09C9BB2D" w14:textId="187372D6" w:rsidR="004D7E32" w:rsidRPr="001E192F" w:rsidRDefault="004D7E32" w:rsidP="009A2C29">
            <w:pPr>
              <w:pStyle w:val="TableBody"/>
              <w:rPr>
                <w:szCs w:val="24"/>
              </w:rPr>
            </w:pPr>
          </w:p>
        </w:tc>
        <w:tc>
          <w:tcPr>
            <w:tcW w:w="1278" w:type="dxa"/>
            <w:vAlign w:val="bottom"/>
          </w:tcPr>
          <w:p w14:paraId="1B1E714F" w14:textId="58AD4EB6" w:rsidR="004D7E32" w:rsidRPr="001E192F" w:rsidRDefault="004D7E32" w:rsidP="009A2C29">
            <w:pPr>
              <w:pStyle w:val="TableBody"/>
              <w:tabs>
                <w:tab w:val="clear" w:pos="360"/>
                <w:tab w:val="decimal" w:pos="293"/>
              </w:tabs>
              <w:rPr>
                <w:szCs w:val="24"/>
              </w:rPr>
            </w:pPr>
            <w:r w:rsidRPr="001E192F">
              <w:rPr>
                <w:color w:val="000000"/>
                <w:szCs w:val="24"/>
              </w:rPr>
              <w:t>(2.524)</w:t>
            </w:r>
          </w:p>
        </w:tc>
        <w:tc>
          <w:tcPr>
            <w:tcW w:w="1368" w:type="dxa"/>
            <w:vAlign w:val="bottom"/>
          </w:tcPr>
          <w:p w14:paraId="79EDB3DF" w14:textId="32A52290" w:rsidR="004D7E32" w:rsidRPr="001E192F" w:rsidRDefault="004D7E32" w:rsidP="009A2C29">
            <w:pPr>
              <w:pStyle w:val="TableBody"/>
              <w:tabs>
                <w:tab w:val="clear" w:pos="360"/>
                <w:tab w:val="decimal" w:pos="293"/>
              </w:tabs>
              <w:rPr>
                <w:szCs w:val="24"/>
              </w:rPr>
            </w:pPr>
            <w:r w:rsidRPr="001E192F">
              <w:rPr>
                <w:color w:val="000000"/>
                <w:szCs w:val="24"/>
              </w:rPr>
              <w:t>(1.840)</w:t>
            </w:r>
          </w:p>
        </w:tc>
        <w:tc>
          <w:tcPr>
            <w:tcW w:w="1368" w:type="dxa"/>
            <w:vAlign w:val="bottom"/>
          </w:tcPr>
          <w:p w14:paraId="2F1A597D" w14:textId="1F202C8A" w:rsidR="004D7E32" w:rsidRPr="001E192F" w:rsidRDefault="004D7E32" w:rsidP="009A2C29">
            <w:pPr>
              <w:pStyle w:val="TableBody"/>
              <w:tabs>
                <w:tab w:val="clear" w:pos="360"/>
                <w:tab w:val="decimal" w:pos="293"/>
              </w:tabs>
              <w:rPr>
                <w:szCs w:val="24"/>
              </w:rPr>
            </w:pPr>
            <w:r w:rsidRPr="001E192F">
              <w:rPr>
                <w:color w:val="000000"/>
                <w:szCs w:val="24"/>
              </w:rPr>
              <w:t>(0.790)</w:t>
            </w:r>
          </w:p>
        </w:tc>
        <w:tc>
          <w:tcPr>
            <w:tcW w:w="1368" w:type="dxa"/>
            <w:vAlign w:val="bottom"/>
          </w:tcPr>
          <w:p w14:paraId="20E7E468" w14:textId="72C474AC" w:rsidR="004D7E32" w:rsidRPr="001E192F" w:rsidRDefault="004D7E32" w:rsidP="009A2C29">
            <w:pPr>
              <w:pStyle w:val="TableBody"/>
              <w:tabs>
                <w:tab w:val="clear" w:pos="360"/>
                <w:tab w:val="decimal" w:pos="293"/>
              </w:tabs>
              <w:rPr>
                <w:szCs w:val="24"/>
              </w:rPr>
            </w:pPr>
            <w:r w:rsidRPr="001E192F">
              <w:rPr>
                <w:color w:val="000000"/>
                <w:szCs w:val="24"/>
              </w:rPr>
              <w:t>(-2.664)</w:t>
            </w:r>
          </w:p>
        </w:tc>
        <w:tc>
          <w:tcPr>
            <w:tcW w:w="1368" w:type="dxa"/>
            <w:vAlign w:val="bottom"/>
          </w:tcPr>
          <w:p w14:paraId="7B323502" w14:textId="6AC39C46" w:rsidR="004D7E32" w:rsidRPr="001E192F" w:rsidRDefault="004D7E32" w:rsidP="009A2C29">
            <w:pPr>
              <w:pStyle w:val="TableBody"/>
              <w:tabs>
                <w:tab w:val="clear" w:pos="360"/>
                <w:tab w:val="decimal" w:pos="293"/>
              </w:tabs>
              <w:rPr>
                <w:szCs w:val="24"/>
              </w:rPr>
            </w:pPr>
            <w:r w:rsidRPr="001E192F">
              <w:rPr>
                <w:color w:val="000000"/>
                <w:szCs w:val="24"/>
              </w:rPr>
              <w:t>(-8.546)</w:t>
            </w:r>
          </w:p>
        </w:tc>
        <w:tc>
          <w:tcPr>
            <w:tcW w:w="1368" w:type="dxa"/>
            <w:vAlign w:val="bottom"/>
          </w:tcPr>
          <w:p w14:paraId="502875A7" w14:textId="0C513354" w:rsidR="004D7E32" w:rsidRPr="001E192F" w:rsidRDefault="004D7E32" w:rsidP="009A2C29">
            <w:pPr>
              <w:pStyle w:val="TableBody"/>
              <w:tabs>
                <w:tab w:val="clear" w:pos="360"/>
                <w:tab w:val="decimal" w:pos="293"/>
              </w:tabs>
              <w:rPr>
                <w:szCs w:val="24"/>
              </w:rPr>
            </w:pPr>
            <w:r w:rsidRPr="001E192F">
              <w:rPr>
                <w:color w:val="000000"/>
                <w:szCs w:val="24"/>
              </w:rPr>
              <w:t>(-8.205)</w:t>
            </w:r>
          </w:p>
        </w:tc>
      </w:tr>
      <w:tr w:rsidR="004633E6" w:rsidRPr="001E192F" w14:paraId="26190DA8" w14:textId="77777777" w:rsidTr="00F77E93">
        <w:trPr>
          <w:gridAfter w:val="1"/>
          <w:wAfter w:w="581" w:type="dxa"/>
          <w:trHeight w:val="225"/>
        </w:trPr>
        <w:tc>
          <w:tcPr>
            <w:tcW w:w="1849" w:type="dxa"/>
          </w:tcPr>
          <w:p w14:paraId="2FEB8E0A" w14:textId="77777777" w:rsidR="004633E6" w:rsidRPr="001E192F" w:rsidRDefault="004633E6" w:rsidP="009A2C29">
            <w:pPr>
              <w:pStyle w:val="TableBody"/>
              <w:rPr>
                <w:szCs w:val="24"/>
              </w:rPr>
            </w:pPr>
          </w:p>
        </w:tc>
        <w:tc>
          <w:tcPr>
            <w:tcW w:w="1278" w:type="dxa"/>
            <w:vAlign w:val="bottom"/>
          </w:tcPr>
          <w:p w14:paraId="7AB4D971" w14:textId="77777777" w:rsidR="004633E6" w:rsidRPr="001E192F" w:rsidRDefault="004633E6" w:rsidP="009A2C29">
            <w:pPr>
              <w:pStyle w:val="TableBody"/>
              <w:rPr>
                <w:color w:val="000000"/>
                <w:szCs w:val="24"/>
              </w:rPr>
            </w:pPr>
          </w:p>
        </w:tc>
        <w:tc>
          <w:tcPr>
            <w:tcW w:w="1368" w:type="dxa"/>
            <w:vAlign w:val="bottom"/>
          </w:tcPr>
          <w:p w14:paraId="0706ACA8" w14:textId="77777777" w:rsidR="004633E6" w:rsidRPr="001E192F" w:rsidRDefault="004633E6" w:rsidP="009A2C29">
            <w:pPr>
              <w:pStyle w:val="TableBody"/>
              <w:rPr>
                <w:color w:val="000000"/>
                <w:szCs w:val="24"/>
              </w:rPr>
            </w:pPr>
          </w:p>
        </w:tc>
        <w:tc>
          <w:tcPr>
            <w:tcW w:w="1368" w:type="dxa"/>
            <w:vAlign w:val="bottom"/>
          </w:tcPr>
          <w:p w14:paraId="261A4C06" w14:textId="77777777" w:rsidR="004633E6" w:rsidRPr="001E192F" w:rsidRDefault="004633E6" w:rsidP="009A2C29">
            <w:pPr>
              <w:pStyle w:val="TableBody"/>
              <w:rPr>
                <w:color w:val="000000"/>
                <w:szCs w:val="24"/>
              </w:rPr>
            </w:pPr>
          </w:p>
        </w:tc>
        <w:tc>
          <w:tcPr>
            <w:tcW w:w="1368" w:type="dxa"/>
            <w:vAlign w:val="bottom"/>
          </w:tcPr>
          <w:p w14:paraId="59E35559" w14:textId="77777777" w:rsidR="004633E6" w:rsidRPr="001E192F" w:rsidRDefault="004633E6" w:rsidP="009A2C29">
            <w:pPr>
              <w:pStyle w:val="TableBody"/>
              <w:rPr>
                <w:color w:val="000000"/>
                <w:szCs w:val="24"/>
              </w:rPr>
            </w:pPr>
          </w:p>
        </w:tc>
        <w:tc>
          <w:tcPr>
            <w:tcW w:w="1368" w:type="dxa"/>
            <w:vAlign w:val="bottom"/>
          </w:tcPr>
          <w:p w14:paraId="014E2901" w14:textId="77777777" w:rsidR="004633E6" w:rsidRPr="001E192F" w:rsidRDefault="004633E6" w:rsidP="009A2C29">
            <w:pPr>
              <w:pStyle w:val="TableBody"/>
              <w:rPr>
                <w:color w:val="000000"/>
                <w:szCs w:val="24"/>
              </w:rPr>
            </w:pPr>
          </w:p>
        </w:tc>
        <w:tc>
          <w:tcPr>
            <w:tcW w:w="1368" w:type="dxa"/>
            <w:vAlign w:val="bottom"/>
          </w:tcPr>
          <w:p w14:paraId="2E87AD88" w14:textId="77777777" w:rsidR="004633E6" w:rsidRPr="001E192F" w:rsidRDefault="004633E6" w:rsidP="009A2C29">
            <w:pPr>
              <w:pStyle w:val="TableBody"/>
              <w:rPr>
                <w:color w:val="000000"/>
                <w:szCs w:val="24"/>
              </w:rPr>
            </w:pPr>
          </w:p>
        </w:tc>
      </w:tr>
      <w:tr w:rsidR="004633E6" w:rsidRPr="001E192F" w14:paraId="5B6A01A2" w14:textId="77777777" w:rsidTr="00F77E93">
        <w:trPr>
          <w:gridAfter w:val="1"/>
          <w:wAfter w:w="581" w:type="dxa"/>
        </w:trPr>
        <w:tc>
          <w:tcPr>
            <w:tcW w:w="1849" w:type="dxa"/>
          </w:tcPr>
          <w:p w14:paraId="2A2D9D71" w14:textId="3D923540" w:rsidR="004633E6" w:rsidRPr="001E192F" w:rsidRDefault="004633E6" w:rsidP="009A2C29">
            <w:pPr>
              <w:pStyle w:val="TableBody"/>
              <w:rPr>
                <w:szCs w:val="24"/>
              </w:rPr>
            </w:pPr>
            <w:proofErr w:type="spellStart"/>
            <w:r w:rsidRPr="001E192F">
              <w:rPr>
                <w:szCs w:val="24"/>
              </w:rPr>
              <w:t>Ang</w:t>
            </w:r>
            <w:proofErr w:type="spellEnd"/>
            <w:r w:rsidR="006803AD" w:rsidRPr="001E192F">
              <w:rPr>
                <w:szCs w:val="24"/>
              </w:rPr>
              <w:t xml:space="preserve"> et al.</w:t>
            </w:r>
          </w:p>
        </w:tc>
        <w:tc>
          <w:tcPr>
            <w:tcW w:w="1278" w:type="dxa"/>
            <w:vAlign w:val="bottom"/>
          </w:tcPr>
          <w:p w14:paraId="32FDCB1C" w14:textId="77777777" w:rsidR="004633E6" w:rsidRPr="001E192F" w:rsidRDefault="004633E6" w:rsidP="009A2C29">
            <w:pPr>
              <w:pStyle w:val="TableBody"/>
              <w:tabs>
                <w:tab w:val="clear" w:pos="360"/>
                <w:tab w:val="decimal" w:pos="293"/>
              </w:tabs>
              <w:rPr>
                <w:szCs w:val="24"/>
              </w:rPr>
            </w:pPr>
            <w:r w:rsidRPr="001E192F">
              <w:rPr>
                <w:szCs w:val="24"/>
              </w:rPr>
              <w:t>0.04</w:t>
            </w:r>
          </w:p>
        </w:tc>
        <w:tc>
          <w:tcPr>
            <w:tcW w:w="1368" w:type="dxa"/>
            <w:vAlign w:val="bottom"/>
          </w:tcPr>
          <w:p w14:paraId="4D65C534" w14:textId="77777777" w:rsidR="004633E6" w:rsidRPr="001E192F" w:rsidRDefault="004633E6" w:rsidP="009A2C29">
            <w:pPr>
              <w:pStyle w:val="TableBody"/>
              <w:tabs>
                <w:tab w:val="clear" w:pos="360"/>
                <w:tab w:val="decimal" w:pos="293"/>
              </w:tabs>
              <w:rPr>
                <w:szCs w:val="24"/>
              </w:rPr>
            </w:pPr>
            <w:r w:rsidRPr="001E192F">
              <w:rPr>
                <w:szCs w:val="24"/>
              </w:rPr>
              <w:t>0.09</w:t>
            </w:r>
          </w:p>
        </w:tc>
        <w:tc>
          <w:tcPr>
            <w:tcW w:w="1368" w:type="dxa"/>
            <w:vAlign w:val="bottom"/>
          </w:tcPr>
          <w:p w14:paraId="544B3DC9" w14:textId="77777777" w:rsidR="004633E6" w:rsidRPr="001E192F" w:rsidRDefault="004633E6" w:rsidP="009A2C29">
            <w:pPr>
              <w:pStyle w:val="TableBody"/>
              <w:tabs>
                <w:tab w:val="clear" w:pos="360"/>
                <w:tab w:val="decimal" w:pos="293"/>
              </w:tabs>
              <w:rPr>
                <w:szCs w:val="24"/>
              </w:rPr>
            </w:pPr>
            <w:r w:rsidRPr="001E192F">
              <w:rPr>
                <w:szCs w:val="24"/>
              </w:rPr>
              <w:t>0.08</w:t>
            </w:r>
          </w:p>
        </w:tc>
        <w:tc>
          <w:tcPr>
            <w:tcW w:w="1368" w:type="dxa"/>
            <w:vAlign w:val="bottom"/>
          </w:tcPr>
          <w:p w14:paraId="658E1ABD" w14:textId="77777777" w:rsidR="004633E6" w:rsidRPr="001E192F" w:rsidRDefault="004633E6" w:rsidP="009A2C29">
            <w:pPr>
              <w:pStyle w:val="TableBody"/>
              <w:tabs>
                <w:tab w:val="clear" w:pos="360"/>
                <w:tab w:val="decimal" w:pos="293"/>
              </w:tabs>
              <w:rPr>
                <w:szCs w:val="24"/>
              </w:rPr>
            </w:pPr>
            <w:r w:rsidRPr="001E192F">
              <w:rPr>
                <w:szCs w:val="24"/>
              </w:rPr>
              <w:t>-0.32**</w:t>
            </w:r>
          </w:p>
        </w:tc>
        <w:tc>
          <w:tcPr>
            <w:tcW w:w="1368" w:type="dxa"/>
            <w:vAlign w:val="bottom"/>
          </w:tcPr>
          <w:p w14:paraId="17A4B2E2" w14:textId="77777777" w:rsidR="004633E6" w:rsidRPr="001E192F" w:rsidRDefault="004633E6" w:rsidP="009A2C29">
            <w:pPr>
              <w:pStyle w:val="TableBody"/>
              <w:tabs>
                <w:tab w:val="clear" w:pos="360"/>
                <w:tab w:val="decimal" w:pos="293"/>
              </w:tabs>
              <w:rPr>
                <w:szCs w:val="24"/>
              </w:rPr>
            </w:pPr>
            <w:r w:rsidRPr="001E192F">
              <w:rPr>
                <w:szCs w:val="24"/>
              </w:rPr>
              <w:t>-1.27***</w:t>
            </w:r>
          </w:p>
        </w:tc>
        <w:tc>
          <w:tcPr>
            <w:tcW w:w="1368" w:type="dxa"/>
            <w:vAlign w:val="bottom"/>
          </w:tcPr>
          <w:p w14:paraId="246F42FF" w14:textId="77777777" w:rsidR="004633E6" w:rsidRPr="001E192F" w:rsidRDefault="004633E6" w:rsidP="009A2C29">
            <w:pPr>
              <w:pStyle w:val="TableBody"/>
              <w:tabs>
                <w:tab w:val="clear" w:pos="360"/>
                <w:tab w:val="decimal" w:pos="293"/>
              </w:tabs>
              <w:rPr>
                <w:szCs w:val="24"/>
              </w:rPr>
            </w:pPr>
            <w:r w:rsidRPr="001E192F">
              <w:rPr>
                <w:szCs w:val="24"/>
              </w:rPr>
              <w:t>-1.31***</w:t>
            </w:r>
          </w:p>
        </w:tc>
      </w:tr>
      <w:tr w:rsidR="004633E6" w:rsidRPr="001E192F" w14:paraId="142A5F03" w14:textId="77777777" w:rsidTr="00F77E93">
        <w:trPr>
          <w:gridAfter w:val="1"/>
          <w:wAfter w:w="581" w:type="dxa"/>
          <w:trHeight w:val="315"/>
        </w:trPr>
        <w:tc>
          <w:tcPr>
            <w:tcW w:w="1849" w:type="dxa"/>
            <w:tcBorders>
              <w:bottom w:val="single" w:sz="4" w:space="0" w:color="auto"/>
            </w:tcBorders>
          </w:tcPr>
          <w:p w14:paraId="0CCD8B42" w14:textId="77777777" w:rsidR="004633E6" w:rsidRPr="001E192F" w:rsidRDefault="004633E6" w:rsidP="009A2C29">
            <w:pPr>
              <w:pStyle w:val="TableBody"/>
              <w:rPr>
                <w:color w:val="FF0000"/>
                <w:szCs w:val="24"/>
                <w:highlight w:val="yellow"/>
              </w:rPr>
            </w:pPr>
          </w:p>
        </w:tc>
        <w:tc>
          <w:tcPr>
            <w:tcW w:w="1278" w:type="dxa"/>
            <w:tcBorders>
              <w:bottom w:val="single" w:sz="4" w:space="0" w:color="auto"/>
            </w:tcBorders>
            <w:vAlign w:val="bottom"/>
          </w:tcPr>
          <w:p w14:paraId="44640991" w14:textId="77777777" w:rsidR="004633E6" w:rsidRPr="001E192F" w:rsidRDefault="004633E6" w:rsidP="009A2C29">
            <w:pPr>
              <w:pStyle w:val="TableBody"/>
              <w:tabs>
                <w:tab w:val="clear" w:pos="360"/>
                <w:tab w:val="decimal" w:pos="293"/>
              </w:tabs>
              <w:rPr>
                <w:szCs w:val="24"/>
              </w:rPr>
            </w:pPr>
            <w:r w:rsidRPr="001E192F">
              <w:rPr>
                <w:szCs w:val="24"/>
              </w:rPr>
              <w:t>(0.99)</w:t>
            </w:r>
          </w:p>
        </w:tc>
        <w:tc>
          <w:tcPr>
            <w:tcW w:w="1368" w:type="dxa"/>
            <w:tcBorders>
              <w:bottom w:val="single" w:sz="4" w:space="0" w:color="auto"/>
            </w:tcBorders>
            <w:vAlign w:val="bottom"/>
          </w:tcPr>
          <w:p w14:paraId="4CCFC80E" w14:textId="77777777" w:rsidR="004633E6" w:rsidRPr="001E192F" w:rsidRDefault="004633E6" w:rsidP="009A2C29">
            <w:pPr>
              <w:pStyle w:val="TableBody"/>
              <w:tabs>
                <w:tab w:val="clear" w:pos="360"/>
                <w:tab w:val="decimal" w:pos="293"/>
              </w:tabs>
              <w:rPr>
                <w:szCs w:val="24"/>
              </w:rPr>
            </w:pPr>
            <w:r w:rsidRPr="001E192F">
              <w:rPr>
                <w:szCs w:val="24"/>
              </w:rPr>
              <w:t>(1.51)</w:t>
            </w:r>
          </w:p>
        </w:tc>
        <w:tc>
          <w:tcPr>
            <w:tcW w:w="1368" w:type="dxa"/>
            <w:tcBorders>
              <w:bottom w:val="single" w:sz="4" w:space="0" w:color="auto"/>
            </w:tcBorders>
            <w:vAlign w:val="bottom"/>
          </w:tcPr>
          <w:p w14:paraId="5A3AACC2" w14:textId="77777777" w:rsidR="004633E6" w:rsidRPr="001E192F" w:rsidRDefault="004633E6" w:rsidP="009A2C29">
            <w:pPr>
              <w:pStyle w:val="TableBody"/>
              <w:tabs>
                <w:tab w:val="clear" w:pos="360"/>
                <w:tab w:val="decimal" w:pos="293"/>
              </w:tabs>
              <w:rPr>
                <w:szCs w:val="24"/>
              </w:rPr>
            </w:pPr>
            <w:r w:rsidRPr="001E192F">
              <w:rPr>
                <w:szCs w:val="24"/>
              </w:rPr>
              <w:t>(1.04)</w:t>
            </w:r>
          </w:p>
        </w:tc>
        <w:tc>
          <w:tcPr>
            <w:tcW w:w="1368" w:type="dxa"/>
            <w:tcBorders>
              <w:bottom w:val="single" w:sz="4" w:space="0" w:color="auto"/>
            </w:tcBorders>
            <w:vAlign w:val="bottom"/>
          </w:tcPr>
          <w:p w14:paraId="180268FE" w14:textId="77777777" w:rsidR="004633E6" w:rsidRPr="001E192F" w:rsidRDefault="004633E6" w:rsidP="009A2C29">
            <w:pPr>
              <w:pStyle w:val="TableBody"/>
              <w:tabs>
                <w:tab w:val="clear" w:pos="360"/>
                <w:tab w:val="decimal" w:pos="293"/>
              </w:tabs>
              <w:rPr>
                <w:szCs w:val="24"/>
              </w:rPr>
            </w:pPr>
            <w:r w:rsidRPr="001E192F">
              <w:rPr>
                <w:szCs w:val="24"/>
              </w:rPr>
              <w:t>(-3.15)</w:t>
            </w:r>
          </w:p>
        </w:tc>
        <w:tc>
          <w:tcPr>
            <w:tcW w:w="1368" w:type="dxa"/>
            <w:tcBorders>
              <w:bottom w:val="single" w:sz="4" w:space="0" w:color="auto"/>
            </w:tcBorders>
            <w:vAlign w:val="bottom"/>
          </w:tcPr>
          <w:p w14:paraId="2F829BEF" w14:textId="77777777" w:rsidR="004633E6" w:rsidRPr="001E192F" w:rsidRDefault="004633E6" w:rsidP="009A2C29">
            <w:pPr>
              <w:pStyle w:val="TableBody"/>
              <w:tabs>
                <w:tab w:val="clear" w:pos="360"/>
                <w:tab w:val="decimal" w:pos="293"/>
              </w:tabs>
              <w:rPr>
                <w:szCs w:val="24"/>
              </w:rPr>
            </w:pPr>
            <w:r w:rsidRPr="001E192F">
              <w:rPr>
                <w:szCs w:val="24"/>
              </w:rPr>
              <w:t>(-7.68)</w:t>
            </w:r>
          </w:p>
        </w:tc>
        <w:tc>
          <w:tcPr>
            <w:tcW w:w="1368" w:type="dxa"/>
            <w:tcBorders>
              <w:bottom w:val="single" w:sz="4" w:space="0" w:color="auto"/>
            </w:tcBorders>
            <w:vAlign w:val="bottom"/>
          </w:tcPr>
          <w:p w14:paraId="40A4FA7D" w14:textId="77777777" w:rsidR="004633E6" w:rsidRPr="001E192F" w:rsidRDefault="004633E6" w:rsidP="009A2C29">
            <w:pPr>
              <w:pStyle w:val="TableBody"/>
              <w:tabs>
                <w:tab w:val="clear" w:pos="360"/>
                <w:tab w:val="decimal" w:pos="293"/>
              </w:tabs>
              <w:rPr>
                <w:szCs w:val="24"/>
              </w:rPr>
            </w:pPr>
            <w:r w:rsidRPr="001E192F">
              <w:rPr>
                <w:szCs w:val="24"/>
              </w:rPr>
              <w:t>(-7.00)</w:t>
            </w:r>
          </w:p>
        </w:tc>
      </w:tr>
      <w:tr w:rsidR="004633E6" w:rsidRPr="001E192F" w14:paraId="5FD85E26" w14:textId="77777777" w:rsidTr="00F77E93">
        <w:trPr>
          <w:gridAfter w:val="1"/>
          <w:wAfter w:w="581" w:type="dxa"/>
        </w:trPr>
        <w:tc>
          <w:tcPr>
            <w:tcW w:w="9967" w:type="dxa"/>
            <w:gridSpan w:val="7"/>
            <w:tcBorders>
              <w:top w:val="single" w:sz="4" w:space="0" w:color="auto"/>
            </w:tcBorders>
          </w:tcPr>
          <w:p w14:paraId="388BA226" w14:textId="44D37B1D" w:rsidR="004633E6" w:rsidRPr="001E192F" w:rsidRDefault="003419EC" w:rsidP="009A2C29">
            <w:pPr>
              <w:spacing w:after="0" w:line="240" w:lineRule="auto"/>
              <w:rPr>
                <w:szCs w:val="24"/>
              </w:rPr>
            </w:pPr>
            <w:r w:rsidRPr="001E192F">
              <w:rPr>
                <w:szCs w:val="24"/>
              </w:rPr>
              <w:t xml:space="preserve">In this table, we </w:t>
            </w:r>
            <w:r w:rsidR="004633E6" w:rsidRPr="001E192F">
              <w:rPr>
                <w:szCs w:val="24"/>
              </w:rPr>
              <w:t xml:space="preserve">report the portfolio alphas (×100) from our replication and the corresponding alphas from </w:t>
            </w:r>
            <w:proofErr w:type="spellStart"/>
            <w:r w:rsidR="004633E6" w:rsidRPr="001E192F">
              <w:rPr>
                <w:szCs w:val="24"/>
              </w:rPr>
              <w:t>Ang</w:t>
            </w:r>
            <w:proofErr w:type="spellEnd"/>
            <w:r w:rsidR="00A4179C" w:rsidRPr="001E192F">
              <w:rPr>
                <w:szCs w:val="24"/>
              </w:rPr>
              <w:t xml:space="preserve"> et al.</w:t>
            </w:r>
            <w:r w:rsidR="004633E6" w:rsidRPr="001E192F">
              <w:rPr>
                <w:szCs w:val="24"/>
              </w:rPr>
              <w:t xml:space="preserve"> (2006) for idiosyncratic volatility-sorted portfolios</w:t>
            </w:r>
            <w:r w:rsidR="00993792" w:rsidRPr="001E192F">
              <w:rPr>
                <w:szCs w:val="24"/>
              </w:rPr>
              <w:t xml:space="preserve">.  </w:t>
            </w:r>
            <w:r w:rsidR="004633E6" w:rsidRPr="001E192F">
              <w:rPr>
                <w:szCs w:val="24"/>
              </w:rPr>
              <w:t>Idiosyncratic volatility is measured at monthly intervals from daily data</w:t>
            </w:r>
            <w:r w:rsidR="00993792" w:rsidRPr="001E192F">
              <w:rPr>
                <w:szCs w:val="24"/>
              </w:rPr>
              <w:t xml:space="preserve">.  </w:t>
            </w:r>
            <w:r w:rsidR="004633E6" w:rsidRPr="001E192F">
              <w:rPr>
                <w:szCs w:val="24"/>
              </w:rPr>
              <w:t xml:space="preserve">For each month in our sample period, we estimate the </w:t>
            </w:r>
            <w:proofErr w:type="spellStart"/>
            <w:r w:rsidR="004633E6" w:rsidRPr="001E192F">
              <w:rPr>
                <w:szCs w:val="24"/>
              </w:rPr>
              <w:t>Fama</w:t>
            </w:r>
            <w:proofErr w:type="spellEnd"/>
            <w:r w:rsidR="004633E6" w:rsidRPr="001E192F">
              <w:rPr>
                <w:szCs w:val="24"/>
              </w:rPr>
              <w:t xml:space="preserve"> and French (1993) three-factor model with daily excess returns (returns less the daily return on a portfolio of U.S</w:t>
            </w:r>
            <w:r w:rsidR="00993792" w:rsidRPr="001E192F">
              <w:rPr>
                <w:szCs w:val="24"/>
              </w:rPr>
              <w:t xml:space="preserve">.  </w:t>
            </w:r>
            <w:r w:rsidR="004633E6" w:rsidRPr="001E192F">
              <w:rPr>
                <w:szCs w:val="24"/>
              </w:rPr>
              <w:t>T-bills) and the daily factors from the previous calendar month</w:t>
            </w:r>
            <w:r w:rsidR="00993792" w:rsidRPr="001E192F">
              <w:rPr>
                <w:szCs w:val="24"/>
              </w:rPr>
              <w:t xml:space="preserve">.  </w:t>
            </w:r>
            <w:r w:rsidR="004633E6" w:rsidRPr="001E192F">
              <w:rPr>
                <w:szCs w:val="24"/>
              </w:rPr>
              <w:t>We measure monthly idiosyncratic volatility as the standard deviation of the residual from the daily three-factor regressions (</w:t>
            </w:r>
            <w:r w:rsidR="004633E6" w:rsidRPr="001E192F">
              <w:rPr>
                <w:i/>
                <w:szCs w:val="24"/>
              </w:rPr>
              <w:t>×√30</w:t>
            </w:r>
            <w:r w:rsidR="004633E6" w:rsidRPr="001E192F">
              <w:rPr>
                <w:szCs w:val="24"/>
              </w:rPr>
              <w:t>)</w:t>
            </w:r>
            <w:r w:rsidR="00993792" w:rsidRPr="001E192F">
              <w:rPr>
                <w:szCs w:val="24"/>
              </w:rPr>
              <w:t xml:space="preserve">.  </w:t>
            </w:r>
            <w:r w:rsidR="004633E6" w:rsidRPr="001E192F">
              <w:rPr>
                <w:szCs w:val="24"/>
              </w:rPr>
              <w:t>We exclude all estimates that are made with fewer than 15 daily observations</w:t>
            </w:r>
            <w:r w:rsidR="00993792" w:rsidRPr="001E192F">
              <w:rPr>
                <w:szCs w:val="24"/>
              </w:rPr>
              <w:t xml:space="preserve">.  </w:t>
            </w:r>
            <w:r w:rsidR="004633E6" w:rsidRPr="001E192F">
              <w:rPr>
                <w:szCs w:val="24"/>
              </w:rPr>
              <w:t xml:space="preserve">When forming these portfolios, we follow </w:t>
            </w:r>
            <w:proofErr w:type="spellStart"/>
            <w:r w:rsidR="004633E6" w:rsidRPr="001E192F">
              <w:rPr>
                <w:szCs w:val="24"/>
              </w:rPr>
              <w:t>Ang</w:t>
            </w:r>
            <w:proofErr w:type="spellEnd"/>
            <w:r w:rsidR="00A4179C" w:rsidRPr="001E192F">
              <w:rPr>
                <w:szCs w:val="24"/>
              </w:rPr>
              <w:t xml:space="preserve"> et al.</w:t>
            </w:r>
            <w:r w:rsidR="004633E6" w:rsidRPr="001E192F">
              <w:rPr>
                <w:szCs w:val="24"/>
              </w:rPr>
              <w:t xml:space="preserve"> (2006)</w:t>
            </w:r>
            <w:r w:rsidR="00993792" w:rsidRPr="001E192F">
              <w:rPr>
                <w:szCs w:val="24"/>
              </w:rPr>
              <w:t xml:space="preserve">.  </w:t>
            </w:r>
            <w:r w:rsidR="004633E6" w:rsidRPr="001E192F">
              <w:rPr>
                <w:szCs w:val="24"/>
              </w:rPr>
              <w:t>We form quintile portfolios every month based on CRSP breakpoints</w:t>
            </w:r>
            <w:r w:rsidR="00993792" w:rsidRPr="001E192F">
              <w:rPr>
                <w:szCs w:val="24"/>
              </w:rPr>
              <w:t xml:space="preserve">.  </w:t>
            </w:r>
            <w:r w:rsidR="004633E6" w:rsidRPr="001E192F">
              <w:rPr>
                <w:szCs w:val="24"/>
              </w:rPr>
              <w:t>We form a long-short portfolio (H-L) by shorting the lowest quintile portfolio (L) and purchasing the highest quintile (H)</w:t>
            </w:r>
            <w:r w:rsidR="00993792" w:rsidRPr="001E192F">
              <w:rPr>
                <w:szCs w:val="24"/>
              </w:rPr>
              <w:t xml:space="preserve">.  </w:t>
            </w:r>
            <w:r w:rsidR="004633E6" w:rsidRPr="001E192F">
              <w:rPr>
                <w:szCs w:val="24"/>
              </w:rPr>
              <w:t>We value-weight the portfolios based on each stock’s market capitalization (</w:t>
            </w:r>
            <w:r w:rsidR="004633E6" w:rsidRPr="001E192F">
              <w:rPr>
                <w:i/>
                <w:szCs w:val="24"/>
              </w:rPr>
              <w:t>price × shares outstanding</w:t>
            </w:r>
            <w:r w:rsidR="004633E6" w:rsidRPr="001E192F">
              <w:rPr>
                <w:szCs w:val="24"/>
              </w:rPr>
              <w:t>)</w:t>
            </w:r>
            <w:r w:rsidR="00993792" w:rsidRPr="001E192F">
              <w:rPr>
                <w:szCs w:val="24"/>
              </w:rPr>
              <w:t xml:space="preserve">.  </w:t>
            </w:r>
            <w:r w:rsidR="004633E6" w:rsidRPr="001E192F">
              <w:rPr>
                <w:szCs w:val="24"/>
              </w:rPr>
              <w:t xml:space="preserve">We estimate the portfolio alphas by regressing the six time-series of portfolio returns on the </w:t>
            </w:r>
            <w:proofErr w:type="spellStart"/>
            <w:r w:rsidR="004633E6" w:rsidRPr="001E192F">
              <w:rPr>
                <w:szCs w:val="24"/>
              </w:rPr>
              <w:t>Fama</w:t>
            </w:r>
            <w:proofErr w:type="spellEnd"/>
            <w:r w:rsidR="004633E6" w:rsidRPr="001E192F">
              <w:rPr>
                <w:szCs w:val="24"/>
              </w:rPr>
              <w:t xml:space="preserve"> and French (1993) three factors</w:t>
            </w:r>
            <w:r w:rsidR="00993792" w:rsidRPr="001E192F">
              <w:rPr>
                <w:szCs w:val="24"/>
              </w:rPr>
              <w:t xml:space="preserve">.  </w:t>
            </w:r>
            <w:r w:rsidR="004633E6" w:rsidRPr="001E192F">
              <w:rPr>
                <w:szCs w:val="24"/>
              </w:rPr>
              <w:t>All return data is obtained from the CRSP daily and monthly files</w:t>
            </w:r>
            <w:r w:rsidR="00993792" w:rsidRPr="001E192F">
              <w:rPr>
                <w:szCs w:val="24"/>
              </w:rPr>
              <w:t xml:space="preserve">.  </w:t>
            </w:r>
            <w:r w:rsidR="004633E6" w:rsidRPr="001E192F">
              <w:rPr>
                <w:szCs w:val="24"/>
              </w:rPr>
              <w:t>The factors and the T-bill returns are obtained from Kenneth French’s data library</w:t>
            </w:r>
            <w:r w:rsidR="00993792" w:rsidRPr="001E192F">
              <w:rPr>
                <w:szCs w:val="24"/>
              </w:rPr>
              <w:t xml:space="preserve">.  </w:t>
            </w:r>
            <w:r w:rsidR="004633E6" w:rsidRPr="001E192F">
              <w:rPr>
                <w:szCs w:val="24"/>
              </w:rPr>
              <w:t xml:space="preserve">In the rows labeled ‘Replication,’ our sample period is identical to </w:t>
            </w:r>
            <w:proofErr w:type="spellStart"/>
            <w:r w:rsidR="004633E6" w:rsidRPr="001E192F">
              <w:rPr>
                <w:szCs w:val="24"/>
              </w:rPr>
              <w:t>Ang</w:t>
            </w:r>
            <w:proofErr w:type="spellEnd"/>
            <w:r w:rsidR="006803AD" w:rsidRPr="001E192F">
              <w:rPr>
                <w:szCs w:val="24"/>
              </w:rPr>
              <w:t xml:space="preserve"> et al.</w:t>
            </w:r>
            <w:r w:rsidR="002E005B" w:rsidRPr="001E192F">
              <w:rPr>
                <w:szCs w:val="24"/>
              </w:rPr>
              <w:t xml:space="preserve"> </w:t>
            </w:r>
            <w:r w:rsidR="004633E6" w:rsidRPr="001E192F">
              <w:rPr>
                <w:szCs w:val="24"/>
              </w:rPr>
              <w:t>(2006), beginning July 1963 and ending December 2000</w:t>
            </w:r>
            <w:r w:rsidR="00993792" w:rsidRPr="001E192F">
              <w:rPr>
                <w:szCs w:val="24"/>
              </w:rPr>
              <w:t xml:space="preserve">.  </w:t>
            </w:r>
            <w:r w:rsidR="004633E6" w:rsidRPr="001E192F">
              <w:rPr>
                <w:szCs w:val="24"/>
              </w:rPr>
              <w:t>The values in the row labeled ‘</w:t>
            </w:r>
            <w:proofErr w:type="spellStart"/>
            <w:r w:rsidR="004633E6" w:rsidRPr="001E192F">
              <w:rPr>
                <w:szCs w:val="24"/>
              </w:rPr>
              <w:t>Ang</w:t>
            </w:r>
            <w:proofErr w:type="spellEnd"/>
            <w:r w:rsidR="006803AD" w:rsidRPr="001E192F">
              <w:rPr>
                <w:szCs w:val="24"/>
              </w:rPr>
              <w:t xml:space="preserve"> et al.</w:t>
            </w:r>
            <w:r w:rsidR="004633E6" w:rsidRPr="001E192F">
              <w:rPr>
                <w:szCs w:val="24"/>
              </w:rPr>
              <w:t xml:space="preserve">’ originate from Table VI in </w:t>
            </w:r>
            <w:proofErr w:type="spellStart"/>
            <w:r w:rsidR="004633E6" w:rsidRPr="001E192F">
              <w:rPr>
                <w:szCs w:val="24"/>
              </w:rPr>
              <w:t>Ang</w:t>
            </w:r>
            <w:proofErr w:type="spellEnd"/>
            <w:r w:rsidR="006803AD" w:rsidRPr="001E192F">
              <w:rPr>
                <w:szCs w:val="24"/>
              </w:rPr>
              <w:t xml:space="preserve"> et al.</w:t>
            </w:r>
            <w:r w:rsidR="002E005B" w:rsidRPr="001E192F">
              <w:rPr>
                <w:szCs w:val="24"/>
              </w:rPr>
              <w:t xml:space="preserve"> </w:t>
            </w:r>
            <w:r w:rsidR="004633E6" w:rsidRPr="001E192F">
              <w:rPr>
                <w:szCs w:val="24"/>
              </w:rPr>
              <w:t>(2006)</w:t>
            </w:r>
            <w:r w:rsidR="00993792" w:rsidRPr="001E192F">
              <w:rPr>
                <w:szCs w:val="24"/>
              </w:rPr>
              <w:t xml:space="preserve">.  </w:t>
            </w:r>
            <w:r w:rsidR="004633E6" w:rsidRPr="001E192F">
              <w:rPr>
                <w:szCs w:val="24"/>
              </w:rPr>
              <w:t>We report the alphas in the first row and the OLS t-statistics in parentheses</w:t>
            </w:r>
            <w:r w:rsidR="00A4179C" w:rsidRPr="001E192F">
              <w:rPr>
                <w:szCs w:val="24"/>
              </w:rPr>
              <w:t xml:space="preserve"> in the second row</w:t>
            </w:r>
            <w:r w:rsidR="00993792" w:rsidRPr="001E192F">
              <w:rPr>
                <w:szCs w:val="24"/>
              </w:rPr>
              <w:t xml:space="preserve">.  </w:t>
            </w:r>
            <w:r w:rsidR="004633E6" w:rsidRPr="001E192F">
              <w:rPr>
                <w:szCs w:val="24"/>
              </w:rPr>
              <w:t>*</w:t>
            </w:r>
            <w:r w:rsidR="00E65394" w:rsidRPr="001E192F">
              <w:rPr>
                <w:szCs w:val="24"/>
              </w:rPr>
              <w:t>, *</w:t>
            </w:r>
            <w:r w:rsidR="004633E6" w:rsidRPr="001E192F">
              <w:rPr>
                <w:szCs w:val="24"/>
              </w:rPr>
              <w:t xml:space="preserve">*, *** </w:t>
            </w:r>
            <w:proofErr w:type="gramStart"/>
            <w:r w:rsidR="004633E6" w:rsidRPr="001E192F">
              <w:rPr>
                <w:szCs w:val="24"/>
              </w:rPr>
              <w:t>denotes</w:t>
            </w:r>
            <w:proofErr w:type="gramEnd"/>
            <w:r w:rsidR="004633E6" w:rsidRPr="001E192F">
              <w:rPr>
                <w:szCs w:val="24"/>
              </w:rPr>
              <w:t xml:space="preserve"> statistical significance at the</w:t>
            </w:r>
            <w:r w:rsidR="00E65394" w:rsidRPr="001E192F">
              <w:rPr>
                <w:szCs w:val="24"/>
              </w:rPr>
              <w:t xml:space="preserve"> 10%,</w:t>
            </w:r>
            <w:r w:rsidR="004633E6" w:rsidRPr="001E192F">
              <w:rPr>
                <w:szCs w:val="24"/>
              </w:rPr>
              <w:t xml:space="preserve"> 5%</w:t>
            </w:r>
            <w:r w:rsidR="00E65394" w:rsidRPr="001E192F">
              <w:rPr>
                <w:szCs w:val="24"/>
              </w:rPr>
              <w:t>,</w:t>
            </w:r>
            <w:r w:rsidR="004633E6" w:rsidRPr="001E192F">
              <w:rPr>
                <w:szCs w:val="24"/>
              </w:rPr>
              <w:t xml:space="preserve"> and 1% levels, respectively.</w:t>
            </w:r>
          </w:p>
        </w:tc>
      </w:tr>
    </w:tbl>
    <w:p w14:paraId="5560CF5B" w14:textId="77777777" w:rsidR="004633E6" w:rsidRPr="001E192F" w:rsidRDefault="004633E6" w:rsidP="009A2C29">
      <w:pPr>
        <w:pStyle w:val="Mydefault"/>
        <w:spacing w:line="240" w:lineRule="auto"/>
        <w:sectPr w:rsidR="004633E6" w:rsidRPr="001E192F" w:rsidSect="003419EC">
          <w:pgSz w:w="12240" w:h="15840"/>
          <w:pgMar w:top="108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1359"/>
        <w:gridCol w:w="1356"/>
        <w:gridCol w:w="1245"/>
        <w:gridCol w:w="1440"/>
        <w:gridCol w:w="1800"/>
        <w:gridCol w:w="1260"/>
      </w:tblGrid>
      <w:tr w:rsidR="004633E6" w:rsidRPr="001E192F" w14:paraId="35F4652D" w14:textId="77777777" w:rsidTr="00F05C2D">
        <w:tc>
          <w:tcPr>
            <w:tcW w:w="10350" w:type="dxa"/>
            <w:gridSpan w:val="7"/>
          </w:tcPr>
          <w:p w14:paraId="42F07A21" w14:textId="7281614E" w:rsidR="004633E6" w:rsidRPr="001E192F" w:rsidRDefault="004633E6" w:rsidP="009A2C29">
            <w:pPr>
              <w:pStyle w:val="Heading2"/>
              <w:outlineLvl w:val="1"/>
            </w:pPr>
            <w:r w:rsidRPr="001E192F">
              <w:lastRenderedPageBreak/>
              <w:t>Table 2</w:t>
            </w:r>
          </w:p>
          <w:p w14:paraId="2DB421CC" w14:textId="2C6B880E" w:rsidR="001C33C8" w:rsidRPr="001E192F" w:rsidRDefault="004633E6" w:rsidP="009A2C29">
            <w:pPr>
              <w:pStyle w:val="Heading3"/>
              <w:outlineLvl w:val="2"/>
            </w:pPr>
            <w:r w:rsidRPr="001E192F">
              <w:t>Alphas</w:t>
            </w:r>
            <w:r w:rsidR="00A0129B" w:rsidRPr="001E192F">
              <w:t xml:space="preserve"> (%)</w:t>
            </w:r>
            <w:r w:rsidRPr="001E192F">
              <w:t xml:space="preserve"> for Value-Weighted, Idiosyncratic Volatility</w:t>
            </w:r>
            <w:r w:rsidR="001C33C8" w:rsidRPr="001E192F">
              <w:t>-Sorted Portfolios</w:t>
            </w:r>
          </w:p>
          <w:p w14:paraId="1E8A2D31" w14:textId="71C71E0D" w:rsidR="004633E6" w:rsidRPr="001E192F" w:rsidRDefault="004633E6" w:rsidP="009A2C29">
            <w:pPr>
              <w:spacing w:after="0" w:line="240" w:lineRule="auto"/>
              <w:jc w:val="center"/>
              <w:rPr>
                <w:b/>
                <w:szCs w:val="24"/>
              </w:rPr>
            </w:pPr>
          </w:p>
        </w:tc>
      </w:tr>
      <w:tr w:rsidR="00C000B0" w:rsidRPr="001E192F" w14:paraId="593C0B58" w14:textId="77777777" w:rsidTr="00F05C2D">
        <w:trPr>
          <w:trHeight w:val="281"/>
        </w:trPr>
        <w:tc>
          <w:tcPr>
            <w:tcW w:w="1890" w:type="dxa"/>
            <w:tcBorders>
              <w:top w:val="single" w:sz="4" w:space="0" w:color="auto"/>
              <w:bottom w:val="single" w:sz="4" w:space="0" w:color="auto"/>
            </w:tcBorders>
          </w:tcPr>
          <w:p w14:paraId="7BDA47E9" w14:textId="77777777" w:rsidR="004633E6" w:rsidRPr="001E192F" w:rsidRDefault="004633E6" w:rsidP="009A2C29">
            <w:pPr>
              <w:spacing w:after="0" w:line="240" w:lineRule="auto"/>
              <w:ind w:firstLine="0"/>
              <w:rPr>
                <w:szCs w:val="24"/>
              </w:rPr>
            </w:pPr>
            <w:r w:rsidRPr="001E192F">
              <w:rPr>
                <w:szCs w:val="24"/>
              </w:rPr>
              <w:t>Methodology</w:t>
            </w:r>
          </w:p>
        </w:tc>
        <w:tc>
          <w:tcPr>
            <w:tcW w:w="1359" w:type="dxa"/>
            <w:tcBorders>
              <w:top w:val="single" w:sz="4" w:space="0" w:color="auto"/>
              <w:bottom w:val="single" w:sz="4" w:space="0" w:color="auto"/>
            </w:tcBorders>
          </w:tcPr>
          <w:p w14:paraId="0005AA50" w14:textId="77777777" w:rsidR="004633E6" w:rsidRPr="001E192F" w:rsidRDefault="004633E6" w:rsidP="009A2C29">
            <w:pPr>
              <w:spacing w:after="0" w:line="240" w:lineRule="auto"/>
              <w:ind w:firstLine="0"/>
              <w:jc w:val="center"/>
              <w:rPr>
                <w:szCs w:val="24"/>
              </w:rPr>
            </w:pPr>
            <w:r w:rsidRPr="001E192F">
              <w:rPr>
                <w:szCs w:val="24"/>
              </w:rPr>
              <w:t>L</w:t>
            </w:r>
          </w:p>
        </w:tc>
        <w:tc>
          <w:tcPr>
            <w:tcW w:w="1356" w:type="dxa"/>
            <w:tcBorders>
              <w:top w:val="single" w:sz="4" w:space="0" w:color="auto"/>
              <w:bottom w:val="single" w:sz="4" w:space="0" w:color="auto"/>
            </w:tcBorders>
          </w:tcPr>
          <w:p w14:paraId="74636B7E" w14:textId="77777777" w:rsidR="004633E6" w:rsidRPr="001E192F" w:rsidRDefault="004633E6" w:rsidP="009A2C29">
            <w:pPr>
              <w:spacing w:after="0" w:line="240" w:lineRule="auto"/>
              <w:ind w:firstLine="0"/>
              <w:jc w:val="center"/>
              <w:rPr>
                <w:szCs w:val="24"/>
              </w:rPr>
            </w:pPr>
            <w:r w:rsidRPr="001E192F">
              <w:rPr>
                <w:szCs w:val="24"/>
              </w:rPr>
              <w:t>ML</w:t>
            </w:r>
          </w:p>
        </w:tc>
        <w:tc>
          <w:tcPr>
            <w:tcW w:w="1245" w:type="dxa"/>
            <w:tcBorders>
              <w:top w:val="single" w:sz="4" w:space="0" w:color="auto"/>
              <w:bottom w:val="single" w:sz="4" w:space="0" w:color="auto"/>
            </w:tcBorders>
          </w:tcPr>
          <w:p w14:paraId="251FB5F7" w14:textId="77777777" w:rsidR="004633E6" w:rsidRPr="001E192F" w:rsidRDefault="004633E6" w:rsidP="009A2C29">
            <w:pPr>
              <w:spacing w:after="0" w:line="240" w:lineRule="auto"/>
              <w:ind w:firstLine="0"/>
              <w:jc w:val="center"/>
              <w:rPr>
                <w:szCs w:val="24"/>
              </w:rPr>
            </w:pPr>
            <w:r w:rsidRPr="001E192F">
              <w:rPr>
                <w:szCs w:val="24"/>
              </w:rPr>
              <w:t>M</w:t>
            </w:r>
          </w:p>
        </w:tc>
        <w:tc>
          <w:tcPr>
            <w:tcW w:w="1440" w:type="dxa"/>
            <w:tcBorders>
              <w:top w:val="single" w:sz="4" w:space="0" w:color="auto"/>
              <w:bottom w:val="single" w:sz="4" w:space="0" w:color="auto"/>
            </w:tcBorders>
          </w:tcPr>
          <w:p w14:paraId="4C948970" w14:textId="77777777" w:rsidR="004633E6" w:rsidRPr="001E192F" w:rsidRDefault="004633E6" w:rsidP="009A2C29">
            <w:pPr>
              <w:spacing w:after="0" w:line="240" w:lineRule="auto"/>
              <w:ind w:firstLine="0"/>
              <w:jc w:val="center"/>
              <w:rPr>
                <w:szCs w:val="24"/>
              </w:rPr>
            </w:pPr>
            <w:r w:rsidRPr="001E192F">
              <w:rPr>
                <w:szCs w:val="24"/>
              </w:rPr>
              <w:t>MH</w:t>
            </w:r>
          </w:p>
        </w:tc>
        <w:tc>
          <w:tcPr>
            <w:tcW w:w="1800" w:type="dxa"/>
            <w:tcBorders>
              <w:top w:val="single" w:sz="4" w:space="0" w:color="auto"/>
              <w:bottom w:val="single" w:sz="4" w:space="0" w:color="auto"/>
            </w:tcBorders>
          </w:tcPr>
          <w:p w14:paraId="79697D2D" w14:textId="77777777" w:rsidR="004633E6" w:rsidRPr="001E192F" w:rsidRDefault="004633E6" w:rsidP="009A2C29">
            <w:pPr>
              <w:spacing w:after="0" w:line="240" w:lineRule="auto"/>
              <w:ind w:firstLine="0"/>
              <w:jc w:val="center"/>
              <w:rPr>
                <w:szCs w:val="24"/>
              </w:rPr>
            </w:pPr>
            <w:r w:rsidRPr="001E192F">
              <w:rPr>
                <w:szCs w:val="24"/>
              </w:rPr>
              <w:t>H</w:t>
            </w:r>
          </w:p>
        </w:tc>
        <w:tc>
          <w:tcPr>
            <w:tcW w:w="1260" w:type="dxa"/>
            <w:tcBorders>
              <w:top w:val="single" w:sz="4" w:space="0" w:color="auto"/>
              <w:bottom w:val="single" w:sz="4" w:space="0" w:color="auto"/>
            </w:tcBorders>
          </w:tcPr>
          <w:p w14:paraId="5EF43257" w14:textId="77777777" w:rsidR="004633E6" w:rsidRPr="001E192F" w:rsidRDefault="004633E6" w:rsidP="009A2C29">
            <w:pPr>
              <w:spacing w:after="0" w:line="240" w:lineRule="auto"/>
              <w:ind w:firstLine="0"/>
              <w:jc w:val="center"/>
              <w:rPr>
                <w:szCs w:val="24"/>
              </w:rPr>
            </w:pPr>
            <w:r w:rsidRPr="001E192F">
              <w:rPr>
                <w:szCs w:val="24"/>
              </w:rPr>
              <w:t>H-L</w:t>
            </w:r>
          </w:p>
        </w:tc>
      </w:tr>
      <w:tr w:rsidR="00C000B0" w:rsidRPr="001E192F" w14:paraId="59609D3E" w14:textId="77777777" w:rsidTr="00F05C2D">
        <w:trPr>
          <w:trHeight w:val="281"/>
        </w:trPr>
        <w:tc>
          <w:tcPr>
            <w:tcW w:w="1890" w:type="dxa"/>
            <w:tcBorders>
              <w:top w:val="single" w:sz="4" w:space="0" w:color="auto"/>
            </w:tcBorders>
          </w:tcPr>
          <w:p w14:paraId="6F8C23B4" w14:textId="77777777" w:rsidR="00A0129B" w:rsidRPr="001E192F" w:rsidRDefault="00A0129B" w:rsidP="009A2C29">
            <w:pPr>
              <w:pStyle w:val="TableBody"/>
              <w:rPr>
                <w:szCs w:val="24"/>
              </w:rPr>
            </w:pPr>
            <w:r w:rsidRPr="001E192F">
              <w:rPr>
                <w:szCs w:val="24"/>
              </w:rPr>
              <w:t>Benchmark</w:t>
            </w:r>
          </w:p>
        </w:tc>
        <w:tc>
          <w:tcPr>
            <w:tcW w:w="1359" w:type="dxa"/>
            <w:tcBorders>
              <w:top w:val="single" w:sz="4" w:space="0" w:color="auto"/>
            </w:tcBorders>
            <w:vAlign w:val="bottom"/>
          </w:tcPr>
          <w:p w14:paraId="6E42B071" w14:textId="6011F675" w:rsidR="00A0129B" w:rsidRPr="001E192F" w:rsidRDefault="00A0129B" w:rsidP="009A2C29">
            <w:pPr>
              <w:pStyle w:val="TableBody"/>
              <w:rPr>
                <w:szCs w:val="24"/>
              </w:rPr>
            </w:pPr>
            <w:r w:rsidRPr="001E192F">
              <w:rPr>
                <w:color w:val="000000"/>
                <w:szCs w:val="24"/>
              </w:rPr>
              <w:t>0.101**</w:t>
            </w:r>
          </w:p>
        </w:tc>
        <w:tc>
          <w:tcPr>
            <w:tcW w:w="1356" w:type="dxa"/>
            <w:tcBorders>
              <w:top w:val="single" w:sz="4" w:space="0" w:color="auto"/>
            </w:tcBorders>
            <w:vAlign w:val="bottom"/>
          </w:tcPr>
          <w:p w14:paraId="0F77C93A" w14:textId="36A370E3" w:rsidR="00A0129B" w:rsidRPr="001E192F" w:rsidRDefault="00A0129B" w:rsidP="009A2C29">
            <w:pPr>
              <w:pStyle w:val="TableBody"/>
              <w:rPr>
                <w:szCs w:val="24"/>
              </w:rPr>
            </w:pPr>
            <w:r w:rsidRPr="001E192F">
              <w:rPr>
                <w:color w:val="000000"/>
                <w:szCs w:val="24"/>
              </w:rPr>
              <w:t>0.116*</w:t>
            </w:r>
          </w:p>
        </w:tc>
        <w:tc>
          <w:tcPr>
            <w:tcW w:w="1245" w:type="dxa"/>
            <w:tcBorders>
              <w:top w:val="single" w:sz="4" w:space="0" w:color="auto"/>
            </w:tcBorders>
            <w:vAlign w:val="bottom"/>
          </w:tcPr>
          <w:p w14:paraId="016F7863" w14:textId="0D27D9C4" w:rsidR="00A0129B" w:rsidRPr="001E192F" w:rsidRDefault="00A0129B" w:rsidP="009A2C29">
            <w:pPr>
              <w:pStyle w:val="TableBody"/>
              <w:rPr>
                <w:szCs w:val="24"/>
              </w:rPr>
            </w:pPr>
            <w:r w:rsidRPr="001E192F">
              <w:rPr>
                <w:color w:val="000000"/>
                <w:szCs w:val="24"/>
              </w:rPr>
              <w:t>0.063</w:t>
            </w:r>
          </w:p>
        </w:tc>
        <w:tc>
          <w:tcPr>
            <w:tcW w:w="1440" w:type="dxa"/>
            <w:tcBorders>
              <w:top w:val="single" w:sz="4" w:space="0" w:color="auto"/>
            </w:tcBorders>
            <w:vAlign w:val="bottom"/>
          </w:tcPr>
          <w:p w14:paraId="2C6A17ED" w14:textId="5EBF2E33" w:rsidR="00A0129B" w:rsidRPr="001E192F" w:rsidRDefault="00A0129B" w:rsidP="009A2C29">
            <w:pPr>
              <w:pStyle w:val="TableBody"/>
              <w:rPr>
                <w:szCs w:val="24"/>
              </w:rPr>
            </w:pPr>
            <w:r w:rsidRPr="001E192F">
              <w:rPr>
                <w:color w:val="000000"/>
                <w:szCs w:val="24"/>
              </w:rPr>
              <w:t>-0.278***</w:t>
            </w:r>
          </w:p>
        </w:tc>
        <w:tc>
          <w:tcPr>
            <w:tcW w:w="1800" w:type="dxa"/>
            <w:tcBorders>
              <w:top w:val="single" w:sz="4" w:space="0" w:color="auto"/>
            </w:tcBorders>
            <w:vAlign w:val="bottom"/>
          </w:tcPr>
          <w:p w14:paraId="7D24AE25" w14:textId="5AB8C4A2" w:rsidR="00A0129B" w:rsidRPr="001E192F" w:rsidRDefault="00A0129B" w:rsidP="009A2C29">
            <w:pPr>
              <w:pStyle w:val="TableBody"/>
              <w:rPr>
                <w:szCs w:val="24"/>
              </w:rPr>
            </w:pPr>
            <w:r w:rsidRPr="001E192F">
              <w:rPr>
                <w:color w:val="000000"/>
                <w:szCs w:val="24"/>
              </w:rPr>
              <w:t>-1.271***</w:t>
            </w:r>
          </w:p>
        </w:tc>
        <w:tc>
          <w:tcPr>
            <w:tcW w:w="1260" w:type="dxa"/>
            <w:tcBorders>
              <w:top w:val="single" w:sz="4" w:space="0" w:color="auto"/>
            </w:tcBorders>
            <w:vAlign w:val="bottom"/>
          </w:tcPr>
          <w:p w14:paraId="0339BEFD" w14:textId="5CB09EDF" w:rsidR="00A0129B" w:rsidRPr="001E192F" w:rsidRDefault="00A0129B" w:rsidP="009A2C29">
            <w:pPr>
              <w:pStyle w:val="TableBody"/>
              <w:rPr>
                <w:szCs w:val="24"/>
              </w:rPr>
            </w:pPr>
            <w:r w:rsidRPr="001E192F">
              <w:rPr>
                <w:color w:val="000000"/>
                <w:szCs w:val="24"/>
              </w:rPr>
              <w:t>-1.372***</w:t>
            </w:r>
          </w:p>
        </w:tc>
      </w:tr>
      <w:tr w:rsidR="00C000B0" w:rsidRPr="001E192F" w14:paraId="327F4B93" w14:textId="77777777" w:rsidTr="00F05C2D">
        <w:trPr>
          <w:trHeight w:val="281"/>
        </w:trPr>
        <w:tc>
          <w:tcPr>
            <w:tcW w:w="1890" w:type="dxa"/>
          </w:tcPr>
          <w:p w14:paraId="6A7D293E" w14:textId="1FA66A52" w:rsidR="00A0129B" w:rsidRPr="001E192F" w:rsidRDefault="005C5062" w:rsidP="009A2C29">
            <w:pPr>
              <w:pStyle w:val="TableBody"/>
              <w:rPr>
                <w:szCs w:val="24"/>
              </w:rPr>
            </w:pPr>
            <w:r w:rsidRPr="001E192F">
              <w:rPr>
                <w:szCs w:val="24"/>
              </w:rPr>
              <w:t>(</w:t>
            </w:r>
            <w:proofErr w:type="gramStart"/>
            <w:r w:rsidRPr="001E192F">
              <w:rPr>
                <w:szCs w:val="24"/>
              </w:rPr>
              <w:t>value</w:t>
            </w:r>
            <w:proofErr w:type="gramEnd"/>
            <w:r w:rsidRPr="001E192F">
              <w:rPr>
                <w:szCs w:val="24"/>
              </w:rPr>
              <w:t>-weighted)</w:t>
            </w:r>
          </w:p>
        </w:tc>
        <w:tc>
          <w:tcPr>
            <w:tcW w:w="1359" w:type="dxa"/>
            <w:vAlign w:val="bottom"/>
          </w:tcPr>
          <w:p w14:paraId="5EA41892" w14:textId="6B1D888C" w:rsidR="00A0129B" w:rsidRPr="001E192F" w:rsidRDefault="00A0129B" w:rsidP="009A2C29">
            <w:pPr>
              <w:pStyle w:val="TableBody"/>
              <w:rPr>
                <w:szCs w:val="24"/>
              </w:rPr>
            </w:pPr>
            <w:r w:rsidRPr="001E192F">
              <w:rPr>
                <w:color w:val="000000"/>
                <w:szCs w:val="24"/>
              </w:rPr>
              <w:t>(2.524)</w:t>
            </w:r>
          </w:p>
        </w:tc>
        <w:tc>
          <w:tcPr>
            <w:tcW w:w="1356" w:type="dxa"/>
            <w:vAlign w:val="bottom"/>
          </w:tcPr>
          <w:p w14:paraId="584F8C34" w14:textId="608936D6" w:rsidR="00A0129B" w:rsidRPr="001E192F" w:rsidRDefault="00A0129B" w:rsidP="009A2C29">
            <w:pPr>
              <w:pStyle w:val="TableBody"/>
              <w:rPr>
                <w:szCs w:val="24"/>
              </w:rPr>
            </w:pPr>
            <w:r w:rsidRPr="001E192F">
              <w:rPr>
                <w:color w:val="000000"/>
                <w:szCs w:val="24"/>
              </w:rPr>
              <w:t>(1.840)</w:t>
            </w:r>
          </w:p>
        </w:tc>
        <w:tc>
          <w:tcPr>
            <w:tcW w:w="1245" w:type="dxa"/>
            <w:vAlign w:val="bottom"/>
          </w:tcPr>
          <w:p w14:paraId="7EC287B2" w14:textId="083207D4" w:rsidR="00A0129B" w:rsidRPr="001E192F" w:rsidRDefault="00A0129B" w:rsidP="009A2C29">
            <w:pPr>
              <w:pStyle w:val="TableBody"/>
              <w:rPr>
                <w:szCs w:val="24"/>
              </w:rPr>
            </w:pPr>
            <w:r w:rsidRPr="001E192F">
              <w:rPr>
                <w:color w:val="000000"/>
                <w:szCs w:val="24"/>
              </w:rPr>
              <w:t>(0.790)</w:t>
            </w:r>
          </w:p>
        </w:tc>
        <w:tc>
          <w:tcPr>
            <w:tcW w:w="1440" w:type="dxa"/>
            <w:vAlign w:val="bottom"/>
          </w:tcPr>
          <w:p w14:paraId="07DCAB95" w14:textId="2E83882D" w:rsidR="00A0129B" w:rsidRPr="001E192F" w:rsidRDefault="00A0129B" w:rsidP="009A2C29">
            <w:pPr>
              <w:pStyle w:val="TableBody"/>
              <w:rPr>
                <w:szCs w:val="24"/>
              </w:rPr>
            </w:pPr>
            <w:r w:rsidRPr="001E192F">
              <w:rPr>
                <w:color w:val="000000"/>
                <w:szCs w:val="24"/>
              </w:rPr>
              <w:t>(-2.664)</w:t>
            </w:r>
          </w:p>
        </w:tc>
        <w:tc>
          <w:tcPr>
            <w:tcW w:w="1800" w:type="dxa"/>
            <w:vAlign w:val="bottom"/>
          </w:tcPr>
          <w:p w14:paraId="37AF269B" w14:textId="6FAFD9CB" w:rsidR="00A0129B" w:rsidRPr="001E192F" w:rsidRDefault="00A0129B" w:rsidP="009A2C29">
            <w:pPr>
              <w:pStyle w:val="TableBody"/>
              <w:rPr>
                <w:szCs w:val="24"/>
              </w:rPr>
            </w:pPr>
            <w:r w:rsidRPr="001E192F">
              <w:rPr>
                <w:color w:val="000000"/>
                <w:szCs w:val="24"/>
              </w:rPr>
              <w:t>(-8.546)</w:t>
            </w:r>
          </w:p>
        </w:tc>
        <w:tc>
          <w:tcPr>
            <w:tcW w:w="1260" w:type="dxa"/>
            <w:vAlign w:val="bottom"/>
          </w:tcPr>
          <w:p w14:paraId="5568D9FB" w14:textId="5786F75E" w:rsidR="00A0129B" w:rsidRPr="001E192F" w:rsidRDefault="00A0129B" w:rsidP="009A2C29">
            <w:pPr>
              <w:pStyle w:val="TableBody"/>
              <w:rPr>
                <w:szCs w:val="24"/>
              </w:rPr>
            </w:pPr>
            <w:r w:rsidRPr="001E192F">
              <w:rPr>
                <w:color w:val="000000"/>
                <w:szCs w:val="24"/>
              </w:rPr>
              <w:t>(-8.205)</w:t>
            </w:r>
          </w:p>
        </w:tc>
      </w:tr>
      <w:tr w:rsidR="00C000B0" w:rsidRPr="001E192F" w14:paraId="2E274190" w14:textId="77777777" w:rsidTr="00F05C2D">
        <w:trPr>
          <w:trHeight w:val="281"/>
        </w:trPr>
        <w:tc>
          <w:tcPr>
            <w:tcW w:w="1890" w:type="dxa"/>
          </w:tcPr>
          <w:p w14:paraId="588314A0" w14:textId="77777777" w:rsidR="004633E6" w:rsidRPr="001E192F" w:rsidRDefault="004633E6" w:rsidP="009A2C29">
            <w:pPr>
              <w:pStyle w:val="TableBody"/>
              <w:rPr>
                <w:szCs w:val="24"/>
              </w:rPr>
            </w:pPr>
          </w:p>
        </w:tc>
        <w:tc>
          <w:tcPr>
            <w:tcW w:w="1359" w:type="dxa"/>
            <w:vAlign w:val="bottom"/>
          </w:tcPr>
          <w:p w14:paraId="37BB303E" w14:textId="77777777" w:rsidR="004633E6" w:rsidRPr="001E192F" w:rsidRDefault="004633E6" w:rsidP="009A2C29">
            <w:pPr>
              <w:pStyle w:val="TableBody"/>
              <w:rPr>
                <w:color w:val="000000"/>
                <w:szCs w:val="24"/>
              </w:rPr>
            </w:pPr>
          </w:p>
        </w:tc>
        <w:tc>
          <w:tcPr>
            <w:tcW w:w="1356" w:type="dxa"/>
            <w:vAlign w:val="bottom"/>
          </w:tcPr>
          <w:p w14:paraId="23368681" w14:textId="77777777" w:rsidR="004633E6" w:rsidRPr="001E192F" w:rsidRDefault="004633E6" w:rsidP="009A2C29">
            <w:pPr>
              <w:pStyle w:val="TableBody"/>
              <w:rPr>
                <w:color w:val="000000"/>
                <w:szCs w:val="24"/>
              </w:rPr>
            </w:pPr>
          </w:p>
        </w:tc>
        <w:tc>
          <w:tcPr>
            <w:tcW w:w="1245" w:type="dxa"/>
            <w:vAlign w:val="bottom"/>
          </w:tcPr>
          <w:p w14:paraId="7DD2BD61" w14:textId="77777777" w:rsidR="004633E6" w:rsidRPr="001E192F" w:rsidRDefault="004633E6" w:rsidP="009A2C29">
            <w:pPr>
              <w:pStyle w:val="TableBody"/>
              <w:rPr>
                <w:color w:val="000000"/>
                <w:szCs w:val="24"/>
              </w:rPr>
            </w:pPr>
          </w:p>
        </w:tc>
        <w:tc>
          <w:tcPr>
            <w:tcW w:w="1440" w:type="dxa"/>
            <w:vAlign w:val="bottom"/>
          </w:tcPr>
          <w:p w14:paraId="18B82D20" w14:textId="77777777" w:rsidR="004633E6" w:rsidRPr="001E192F" w:rsidRDefault="004633E6" w:rsidP="009A2C29">
            <w:pPr>
              <w:pStyle w:val="TableBody"/>
              <w:rPr>
                <w:color w:val="000000"/>
                <w:szCs w:val="24"/>
              </w:rPr>
            </w:pPr>
          </w:p>
        </w:tc>
        <w:tc>
          <w:tcPr>
            <w:tcW w:w="1800" w:type="dxa"/>
            <w:vAlign w:val="bottom"/>
          </w:tcPr>
          <w:p w14:paraId="6CA7D3E7" w14:textId="77777777" w:rsidR="004633E6" w:rsidRPr="001E192F" w:rsidRDefault="004633E6" w:rsidP="009A2C29">
            <w:pPr>
              <w:pStyle w:val="TableBody"/>
              <w:rPr>
                <w:color w:val="000000"/>
                <w:szCs w:val="24"/>
              </w:rPr>
            </w:pPr>
          </w:p>
        </w:tc>
        <w:tc>
          <w:tcPr>
            <w:tcW w:w="1260" w:type="dxa"/>
            <w:vAlign w:val="bottom"/>
          </w:tcPr>
          <w:p w14:paraId="7D79365B" w14:textId="77777777" w:rsidR="004633E6" w:rsidRPr="001E192F" w:rsidRDefault="004633E6" w:rsidP="009A2C29">
            <w:pPr>
              <w:pStyle w:val="TableBody"/>
              <w:rPr>
                <w:color w:val="000000"/>
                <w:szCs w:val="24"/>
              </w:rPr>
            </w:pPr>
          </w:p>
        </w:tc>
      </w:tr>
      <w:tr w:rsidR="00C000B0" w:rsidRPr="001E192F" w14:paraId="0D9F5B6C" w14:textId="77777777" w:rsidTr="00F05C2D">
        <w:trPr>
          <w:trHeight w:val="281"/>
        </w:trPr>
        <w:tc>
          <w:tcPr>
            <w:tcW w:w="1890" w:type="dxa"/>
          </w:tcPr>
          <w:p w14:paraId="330AF892" w14:textId="463D4F49" w:rsidR="00A0129B" w:rsidRPr="001E192F" w:rsidRDefault="005C5062" w:rsidP="009A2C29">
            <w:pPr>
              <w:pStyle w:val="TableBody"/>
              <w:rPr>
                <w:szCs w:val="24"/>
              </w:rPr>
            </w:pPr>
            <w:r w:rsidRPr="001E192F">
              <w:rPr>
                <w:szCs w:val="24"/>
              </w:rPr>
              <w:t>Turn-of-Year</w:t>
            </w:r>
            <w:r w:rsidR="00A0129B" w:rsidRPr="001E192F">
              <w:rPr>
                <w:szCs w:val="24"/>
              </w:rPr>
              <w:t xml:space="preserve"> </w:t>
            </w:r>
          </w:p>
        </w:tc>
        <w:tc>
          <w:tcPr>
            <w:tcW w:w="1359" w:type="dxa"/>
            <w:vAlign w:val="bottom"/>
          </w:tcPr>
          <w:p w14:paraId="46EEC8EA" w14:textId="63308A2C" w:rsidR="00A0129B" w:rsidRPr="001E192F" w:rsidRDefault="00A0129B" w:rsidP="009A2C29">
            <w:pPr>
              <w:pStyle w:val="TableBody"/>
              <w:rPr>
                <w:szCs w:val="24"/>
              </w:rPr>
            </w:pPr>
            <w:r w:rsidRPr="001E192F">
              <w:rPr>
                <w:color w:val="000000"/>
                <w:szCs w:val="24"/>
              </w:rPr>
              <w:t>0.089**</w:t>
            </w:r>
          </w:p>
        </w:tc>
        <w:tc>
          <w:tcPr>
            <w:tcW w:w="1356" w:type="dxa"/>
            <w:vAlign w:val="bottom"/>
          </w:tcPr>
          <w:p w14:paraId="519E849C" w14:textId="03A458F0" w:rsidR="00A0129B" w:rsidRPr="001E192F" w:rsidRDefault="00A0129B" w:rsidP="009A2C29">
            <w:pPr>
              <w:pStyle w:val="TableBody"/>
              <w:rPr>
                <w:szCs w:val="24"/>
              </w:rPr>
            </w:pPr>
            <w:r w:rsidRPr="001E192F">
              <w:rPr>
                <w:color w:val="000000"/>
                <w:szCs w:val="24"/>
              </w:rPr>
              <w:t>0.103</w:t>
            </w:r>
          </w:p>
        </w:tc>
        <w:tc>
          <w:tcPr>
            <w:tcW w:w="1245" w:type="dxa"/>
            <w:vAlign w:val="bottom"/>
          </w:tcPr>
          <w:p w14:paraId="49523913" w14:textId="0C989660" w:rsidR="00A0129B" w:rsidRPr="001E192F" w:rsidRDefault="00A0129B" w:rsidP="009A2C29">
            <w:pPr>
              <w:pStyle w:val="TableBody"/>
              <w:rPr>
                <w:szCs w:val="24"/>
              </w:rPr>
            </w:pPr>
            <w:r w:rsidRPr="001E192F">
              <w:rPr>
                <w:color w:val="000000"/>
                <w:szCs w:val="24"/>
              </w:rPr>
              <w:t>0.052</w:t>
            </w:r>
          </w:p>
        </w:tc>
        <w:tc>
          <w:tcPr>
            <w:tcW w:w="1440" w:type="dxa"/>
            <w:vAlign w:val="bottom"/>
          </w:tcPr>
          <w:p w14:paraId="72647706" w14:textId="6E1A2E5B" w:rsidR="00A0129B" w:rsidRPr="001E192F" w:rsidRDefault="00A0129B" w:rsidP="009A2C29">
            <w:pPr>
              <w:pStyle w:val="TableBody"/>
              <w:rPr>
                <w:szCs w:val="24"/>
              </w:rPr>
            </w:pPr>
            <w:r w:rsidRPr="001E192F">
              <w:rPr>
                <w:color w:val="000000"/>
                <w:szCs w:val="24"/>
              </w:rPr>
              <w:t>-0.287***</w:t>
            </w:r>
          </w:p>
        </w:tc>
        <w:tc>
          <w:tcPr>
            <w:tcW w:w="1800" w:type="dxa"/>
            <w:vAlign w:val="bottom"/>
          </w:tcPr>
          <w:p w14:paraId="13371B51" w14:textId="7E8327A4" w:rsidR="00A0129B" w:rsidRPr="001E192F" w:rsidRDefault="00A0129B" w:rsidP="009A2C29">
            <w:pPr>
              <w:pStyle w:val="TableBody"/>
              <w:rPr>
                <w:szCs w:val="24"/>
              </w:rPr>
            </w:pPr>
            <w:r w:rsidRPr="001E192F">
              <w:rPr>
                <w:color w:val="000000"/>
                <w:szCs w:val="24"/>
              </w:rPr>
              <w:t>-1.389***</w:t>
            </w:r>
          </w:p>
        </w:tc>
        <w:tc>
          <w:tcPr>
            <w:tcW w:w="1260" w:type="dxa"/>
            <w:vAlign w:val="bottom"/>
          </w:tcPr>
          <w:p w14:paraId="441FA8E6" w14:textId="4C315E5F" w:rsidR="00A0129B" w:rsidRPr="001E192F" w:rsidRDefault="00A0129B" w:rsidP="009A2C29">
            <w:pPr>
              <w:pStyle w:val="TableBody"/>
              <w:rPr>
                <w:szCs w:val="24"/>
              </w:rPr>
            </w:pPr>
            <w:r w:rsidRPr="001E192F">
              <w:rPr>
                <w:color w:val="000000"/>
                <w:szCs w:val="24"/>
              </w:rPr>
              <w:t>-1.478***</w:t>
            </w:r>
          </w:p>
        </w:tc>
      </w:tr>
      <w:tr w:rsidR="00C000B0" w:rsidRPr="001E192F" w14:paraId="5A3948DA" w14:textId="77777777" w:rsidTr="00F05C2D">
        <w:trPr>
          <w:trHeight w:val="281"/>
        </w:trPr>
        <w:tc>
          <w:tcPr>
            <w:tcW w:w="1890" w:type="dxa"/>
          </w:tcPr>
          <w:p w14:paraId="3582E5DF" w14:textId="56FCEF67" w:rsidR="00A0129B" w:rsidRPr="001E192F" w:rsidRDefault="005C5062" w:rsidP="009A2C29">
            <w:pPr>
              <w:pStyle w:val="TableBody"/>
              <w:jc w:val="left"/>
              <w:rPr>
                <w:szCs w:val="24"/>
              </w:rPr>
            </w:pPr>
            <w:r w:rsidRPr="001E192F">
              <w:rPr>
                <w:szCs w:val="24"/>
              </w:rPr>
              <w:t>Factor</w:t>
            </w:r>
          </w:p>
        </w:tc>
        <w:tc>
          <w:tcPr>
            <w:tcW w:w="1359" w:type="dxa"/>
            <w:vAlign w:val="bottom"/>
          </w:tcPr>
          <w:p w14:paraId="79B97938" w14:textId="5F0DC97F" w:rsidR="00A0129B" w:rsidRPr="001E192F" w:rsidRDefault="00A0129B" w:rsidP="009A2C29">
            <w:pPr>
              <w:pStyle w:val="TableBody"/>
              <w:rPr>
                <w:szCs w:val="24"/>
              </w:rPr>
            </w:pPr>
            <w:r w:rsidRPr="001E192F">
              <w:rPr>
                <w:color w:val="000000"/>
                <w:szCs w:val="24"/>
              </w:rPr>
              <w:t>(2.181)</w:t>
            </w:r>
          </w:p>
        </w:tc>
        <w:tc>
          <w:tcPr>
            <w:tcW w:w="1356" w:type="dxa"/>
            <w:vAlign w:val="bottom"/>
          </w:tcPr>
          <w:p w14:paraId="5B6C580C" w14:textId="7A9811A2" w:rsidR="00A0129B" w:rsidRPr="001E192F" w:rsidRDefault="00A0129B" w:rsidP="009A2C29">
            <w:pPr>
              <w:pStyle w:val="TableBody"/>
              <w:rPr>
                <w:szCs w:val="24"/>
              </w:rPr>
            </w:pPr>
            <w:r w:rsidRPr="001E192F">
              <w:rPr>
                <w:color w:val="000000"/>
                <w:szCs w:val="24"/>
              </w:rPr>
              <w:t>(1.582)</w:t>
            </w:r>
          </w:p>
        </w:tc>
        <w:tc>
          <w:tcPr>
            <w:tcW w:w="1245" w:type="dxa"/>
            <w:vAlign w:val="bottom"/>
          </w:tcPr>
          <w:p w14:paraId="667AA431" w14:textId="317B586C" w:rsidR="00A0129B" w:rsidRPr="001E192F" w:rsidRDefault="00A0129B" w:rsidP="009A2C29">
            <w:pPr>
              <w:pStyle w:val="TableBody"/>
              <w:rPr>
                <w:szCs w:val="24"/>
              </w:rPr>
            </w:pPr>
            <w:r w:rsidRPr="001E192F">
              <w:rPr>
                <w:color w:val="000000"/>
                <w:szCs w:val="24"/>
              </w:rPr>
              <w:t>(0.628)</w:t>
            </w:r>
          </w:p>
        </w:tc>
        <w:tc>
          <w:tcPr>
            <w:tcW w:w="1440" w:type="dxa"/>
            <w:vAlign w:val="bottom"/>
          </w:tcPr>
          <w:p w14:paraId="09F9D1DB" w14:textId="54CDB291" w:rsidR="00A0129B" w:rsidRPr="001E192F" w:rsidRDefault="00A0129B" w:rsidP="009A2C29">
            <w:pPr>
              <w:pStyle w:val="TableBody"/>
              <w:rPr>
                <w:szCs w:val="24"/>
              </w:rPr>
            </w:pPr>
            <w:r w:rsidRPr="001E192F">
              <w:rPr>
                <w:color w:val="000000"/>
                <w:szCs w:val="24"/>
              </w:rPr>
              <w:t>(-2.675)</w:t>
            </w:r>
          </w:p>
        </w:tc>
        <w:tc>
          <w:tcPr>
            <w:tcW w:w="1800" w:type="dxa"/>
            <w:vAlign w:val="bottom"/>
          </w:tcPr>
          <w:p w14:paraId="4FF4812B" w14:textId="594277BC" w:rsidR="00A0129B" w:rsidRPr="001E192F" w:rsidRDefault="00A0129B" w:rsidP="009A2C29">
            <w:pPr>
              <w:pStyle w:val="TableBody"/>
              <w:rPr>
                <w:szCs w:val="24"/>
              </w:rPr>
            </w:pPr>
            <w:r w:rsidRPr="001E192F">
              <w:rPr>
                <w:color w:val="000000"/>
                <w:szCs w:val="24"/>
              </w:rPr>
              <w:t>(-9.187)</w:t>
            </w:r>
          </w:p>
        </w:tc>
        <w:tc>
          <w:tcPr>
            <w:tcW w:w="1260" w:type="dxa"/>
            <w:vAlign w:val="bottom"/>
          </w:tcPr>
          <w:p w14:paraId="720C3AD1" w14:textId="026B906C" w:rsidR="00A0129B" w:rsidRPr="001E192F" w:rsidRDefault="00A0129B" w:rsidP="009A2C29">
            <w:pPr>
              <w:pStyle w:val="TableBody"/>
              <w:rPr>
                <w:szCs w:val="24"/>
              </w:rPr>
            </w:pPr>
            <w:r w:rsidRPr="001E192F">
              <w:rPr>
                <w:color w:val="000000"/>
                <w:szCs w:val="24"/>
              </w:rPr>
              <w:t>(-8.660)</w:t>
            </w:r>
          </w:p>
        </w:tc>
      </w:tr>
      <w:tr w:rsidR="00C000B0" w:rsidRPr="001E192F" w14:paraId="0E1083B2" w14:textId="77777777" w:rsidTr="00F05C2D">
        <w:trPr>
          <w:trHeight w:val="281"/>
        </w:trPr>
        <w:tc>
          <w:tcPr>
            <w:tcW w:w="1890" w:type="dxa"/>
          </w:tcPr>
          <w:p w14:paraId="62ACC6CF" w14:textId="77777777" w:rsidR="004633E6" w:rsidRPr="001E192F" w:rsidRDefault="004633E6" w:rsidP="009A2C29">
            <w:pPr>
              <w:pStyle w:val="TableBody"/>
              <w:rPr>
                <w:szCs w:val="24"/>
              </w:rPr>
            </w:pPr>
          </w:p>
        </w:tc>
        <w:tc>
          <w:tcPr>
            <w:tcW w:w="1359" w:type="dxa"/>
            <w:vAlign w:val="bottom"/>
          </w:tcPr>
          <w:p w14:paraId="1953D775" w14:textId="77777777" w:rsidR="004633E6" w:rsidRPr="001E192F" w:rsidRDefault="004633E6" w:rsidP="009A2C29">
            <w:pPr>
              <w:pStyle w:val="TableBody"/>
              <w:rPr>
                <w:color w:val="000000"/>
                <w:szCs w:val="24"/>
              </w:rPr>
            </w:pPr>
          </w:p>
        </w:tc>
        <w:tc>
          <w:tcPr>
            <w:tcW w:w="1356" w:type="dxa"/>
            <w:vAlign w:val="bottom"/>
          </w:tcPr>
          <w:p w14:paraId="407D5854" w14:textId="77777777" w:rsidR="004633E6" w:rsidRPr="001E192F" w:rsidRDefault="004633E6" w:rsidP="009A2C29">
            <w:pPr>
              <w:pStyle w:val="TableBody"/>
              <w:rPr>
                <w:color w:val="000000"/>
                <w:szCs w:val="24"/>
              </w:rPr>
            </w:pPr>
          </w:p>
        </w:tc>
        <w:tc>
          <w:tcPr>
            <w:tcW w:w="1245" w:type="dxa"/>
            <w:vAlign w:val="bottom"/>
          </w:tcPr>
          <w:p w14:paraId="23B26A88" w14:textId="77777777" w:rsidR="004633E6" w:rsidRPr="001E192F" w:rsidRDefault="004633E6" w:rsidP="009A2C29">
            <w:pPr>
              <w:pStyle w:val="TableBody"/>
              <w:rPr>
                <w:color w:val="000000"/>
                <w:szCs w:val="24"/>
              </w:rPr>
            </w:pPr>
          </w:p>
        </w:tc>
        <w:tc>
          <w:tcPr>
            <w:tcW w:w="1440" w:type="dxa"/>
            <w:vAlign w:val="bottom"/>
          </w:tcPr>
          <w:p w14:paraId="0EAD98FC" w14:textId="77777777" w:rsidR="004633E6" w:rsidRPr="001E192F" w:rsidRDefault="004633E6" w:rsidP="009A2C29">
            <w:pPr>
              <w:pStyle w:val="TableBody"/>
              <w:rPr>
                <w:color w:val="000000"/>
                <w:szCs w:val="24"/>
              </w:rPr>
            </w:pPr>
          </w:p>
        </w:tc>
        <w:tc>
          <w:tcPr>
            <w:tcW w:w="1800" w:type="dxa"/>
            <w:vAlign w:val="bottom"/>
          </w:tcPr>
          <w:p w14:paraId="34D2AA27" w14:textId="77777777" w:rsidR="004633E6" w:rsidRPr="001E192F" w:rsidRDefault="004633E6" w:rsidP="009A2C29">
            <w:pPr>
              <w:pStyle w:val="TableBody"/>
              <w:rPr>
                <w:color w:val="000000"/>
                <w:szCs w:val="24"/>
              </w:rPr>
            </w:pPr>
          </w:p>
        </w:tc>
        <w:tc>
          <w:tcPr>
            <w:tcW w:w="1260" w:type="dxa"/>
            <w:vAlign w:val="bottom"/>
          </w:tcPr>
          <w:p w14:paraId="10D67343" w14:textId="77777777" w:rsidR="004633E6" w:rsidRPr="001E192F" w:rsidRDefault="004633E6" w:rsidP="009A2C29">
            <w:pPr>
              <w:pStyle w:val="TableBody"/>
              <w:rPr>
                <w:color w:val="000000"/>
                <w:szCs w:val="24"/>
              </w:rPr>
            </w:pPr>
          </w:p>
        </w:tc>
      </w:tr>
      <w:tr w:rsidR="00C000B0" w:rsidRPr="001E192F" w14:paraId="32FC96CA" w14:textId="77777777" w:rsidTr="00F05C2D">
        <w:trPr>
          <w:trHeight w:val="281"/>
        </w:trPr>
        <w:tc>
          <w:tcPr>
            <w:tcW w:w="1890" w:type="dxa"/>
          </w:tcPr>
          <w:p w14:paraId="2A98F98A" w14:textId="6010AB28" w:rsidR="00A0129B" w:rsidRPr="001E192F" w:rsidRDefault="00A0129B" w:rsidP="009A2C29">
            <w:pPr>
              <w:pStyle w:val="TableBody"/>
              <w:rPr>
                <w:szCs w:val="24"/>
              </w:rPr>
            </w:pPr>
            <w:r w:rsidRPr="001E192F">
              <w:rPr>
                <w:szCs w:val="24"/>
              </w:rPr>
              <w:t xml:space="preserve">Exclude </w:t>
            </w:r>
          </w:p>
        </w:tc>
        <w:tc>
          <w:tcPr>
            <w:tcW w:w="1359" w:type="dxa"/>
            <w:vAlign w:val="bottom"/>
          </w:tcPr>
          <w:p w14:paraId="49A9ED9C" w14:textId="0B2550F2" w:rsidR="00A0129B" w:rsidRPr="001E192F" w:rsidRDefault="00A0129B" w:rsidP="009A2C29">
            <w:pPr>
              <w:pStyle w:val="TableBody"/>
              <w:rPr>
                <w:szCs w:val="24"/>
              </w:rPr>
            </w:pPr>
            <w:r w:rsidRPr="001E192F">
              <w:rPr>
                <w:color w:val="000000"/>
                <w:szCs w:val="24"/>
              </w:rPr>
              <w:t>0.112***</w:t>
            </w:r>
          </w:p>
        </w:tc>
        <w:tc>
          <w:tcPr>
            <w:tcW w:w="1356" w:type="dxa"/>
            <w:vAlign w:val="bottom"/>
          </w:tcPr>
          <w:p w14:paraId="170D68A5" w14:textId="3CB1DB96" w:rsidR="00A0129B" w:rsidRPr="001E192F" w:rsidRDefault="00A0129B" w:rsidP="009A2C29">
            <w:pPr>
              <w:pStyle w:val="TableBody"/>
              <w:rPr>
                <w:szCs w:val="24"/>
              </w:rPr>
            </w:pPr>
            <w:r w:rsidRPr="001E192F">
              <w:rPr>
                <w:color w:val="000000"/>
                <w:szCs w:val="24"/>
              </w:rPr>
              <w:t>0.101*</w:t>
            </w:r>
          </w:p>
        </w:tc>
        <w:tc>
          <w:tcPr>
            <w:tcW w:w="1245" w:type="dxa"/>
            <w:vAlign w:val="bottom"/>
          </w:tcPr>
          <w:p w14:paraId="787435CA" w14:textId="11843C80" w:rsidR="00A0129B" w:rsidRPr="001E192F" w:rsidRDefault="00A0129B" w:rsidP="009A2C29">
            <w:pPr>
              <w:pStyle w:val="TableBody"/>
              <w:rPr>
                <w:szCs w:val="24"/>
              </w:rPr>
            </w:pPr>
            <w:r w:rsidRPr="001E192F">
              <w:rPr>
                <w:color w:val="000000"/>
                <w:szCs w:val="24"/>
              </w:rPr>
              <w:t>0.098</w:t>
            </w:r>
          </w:p>
        </w:tc>
        <w:tc>
          <w:tcPr>
            <w:tcW w:w="1440" w:type="dxa"/>
            <w:vAlign w:val="bottom"/>
          </w:tcPr>
          <w:p w14:paraId="1D407AE6" w14:textId="58FE0274" w:rsidR="00A0129B" w:rsidRPr="001E192F" w:rsidRDefault="00A0129B" w:rsidP="009A2C29">
            <w:pPr>
              <w:pStyle w:val="TableBody"/>
              <w:rPr>
                <w:szCs w:val="24"/>
              </w:rPr>
            </w:pPr>
            <w:r w:rsidRPr="001E192F">
              <w:rPr>
                <w:color w:val="000000"/>
                <w:szCs w:val="24"/>
              </w:rPr>
              <w:t>-0.189**</w:t>
            </w:r>
          </w:p>
        </w:tc>
        <w:tc>
          <w:tcPr>
            <w:tcW w:w="1800" w:type="dxa"/>
            <w:vAlign w:val="bottom"/>
          </w:tcPr>
          <w:p w14:paraId="4DB78E6A" w14:textId="580A2225" w:rsidR="00A0129B" w:rsidRPr="001E192F" w:rsidRDefault="00A0129B" w:rsidP="009A2C29">
            <w:pPr>
              <w:pStyle w:val="TableBody"/>
              <w:rPr>
                <w:szCs w:val="24"/>
              </w:rPr>
            </w:pPr>
            <w:r w:rsidRPr="001E192F">
              <w:rPr>
                <w:color w:val="000000"/>
                <w:szCs w:val="24"/>
              </w:rPr>
              <w:t>-0.673***</w:t>
            </w:r>
          </w:p>
        </w:tc>
        <w:tc>
          <w:tcPr>
            <w:tcW w:w="1260" w:type="dxa"/>
            <w:vAlign w:val="bottom"/>
          </w:tcPr>
          <w:p w14:paraId="15DF4F94" w14:textId="284856FF" w:rsidR="00A0129B" w:rsidRPr="001E192F" w:rsidRDefault="00A0129B" w:rsidP="009A2C29">
            <w:pPr>
              <w:pStyle w:val="TableBody"/>
              <w:rPr>
                <w:szCs w:val="24"/>
              </w:rPr>
            </w:pPr>
            <w:r w:rsidRPr="001E192F">
              <w:rPr>
                <w:color w:val="000000"/>
                <w:szCs w:val="24"/>
              </w:rPr>
              <w:t>-0.785***</w:t>
            </w:r>
          </w:p>
        </w:tc>
      </w:tr>
      <w:tr w:rsidR="00C000B0" w:rsidRPr="001E192F" w14:paraId="63DCD48A" w14:textId="77777777" w:rsidTr="00F05C2D">
        <w:trPr>
          <w:trHeight w:val="281"/>
        </w:trPr>
        <w:tc>
          <w:tcPr>
            <w:tcW w:w="1890" w:type="dxa"/>
          </w:tcPr>
          <w:p w14:paraId="1F319BCD" w14:textId="7A831124" w:rsidR="00A0129B" w:rsidRPr="001E192F" w:rsidRDefault="00A0129B" w:rsidP="009A2C29">
            <w:pPr>
              <w:pStyle w:val="TableBody"/>
              <w:rPr>
                <w:szCs w:val="24"/>
              </w:rPr>
            </w:pPr>
            <w:r w:rsidRPr="001E192F">
              <w:rPr>
                <w:szCs w:val="24"/>
              </w:rPr>
              <w:t>&lt; $5</w:t>
            </w:r>
          </w:p>
        </w:tc>
        <w:tc>
          <w:tcPr>
            <w:tcW w:w="1359" w:type="dxa"/>
            <w:vAlign w:val="bottom"/>
          </w:tcPr>
          <w:p w14:paraId="4D32C7D6" w14:textId="42C5B675" w:rsidR="00A0129B" w:rsidRPr="001E192F" w:rsidRDefault="00A0129B" w:rsidP="009A2C29">
            <w:pPr>
              <w:pStyle w:val="TableBody"/>
              <w:rPr>
                <w:szCs w:val="24"/>
              </w:rPr>
            </w:pPr>
            <w:r w:rsidRPr="001E192F">
              <w:rPr>
                <w:color w:val="000000"/>
                <w:szCs w:val="24"/>
              </w:rPr>
              <w:t>(2.625)</w:t>
            </w:r>
          </w:p>
        </w:tc>
        <w:tc>
          <w:tcPr>
            <w:tcW w:w="1356" w:type="dxa"/>
            <w:vAlign w:val="bottom"/>
          </w:tcPr>
          <w:p w14:paraId="302937B5" w14:textId="285A69D9" w:rsidR="00A0129B" w:rsidRPr="001E192F" w:rsidRDefault="00A0129B" w:rsidP="009A2C29">
            <w:pPr>
              <w:pStyle w:val="TableBody"/>
              <w:rPr>
                <w:szCs w:val="24"/>
              </w:rPr>
            </w:pPr>
            <w:r w:rsidRPr="001E192F">
              <w:rPr>
                <w:color w:val="000000"/>
                <w:szCs w:val="24"/>
              </w:rPr>
              <w:t>(1.654)</w:t>
            </w:r>
          </w:p>
        </w:tc>
        <w:tc>
          <w:tcPr>
            <w:tcW w:w="1245" w:type="dxa"/>
            <w:vAlign w:val="bottom"/>
          </w:tcPr>
          <w:p w14:paraId="384AE1DD" w14:textId="779F22A0" w:rsidR="00A0129B" w:rsidRPr="001E192F" w:rsidRDefault="00A0129B" w:rsidP="009A2C29">
            <w:pPr>
              <w:pStyle w:val="TableBody"/>
              <w:rPr>
                <w:szCs w:val="24"/>
              </w:rPr>
            </w:pPr>
            <w:r w:rsidRPr="001E192F">
              <w:rPr>
                <w:color w:val="000000"/>
                <w:szCs w:val="24"/>
              </w:rPr>
              <w:t>(1.332)</w:t>
            </w:r>
          </w:p>
        </w:tc>
        <w:tc>
          <w:tcPr>
            <w:tcW w:w="1440" w:type="dxa"/>
            <w:vAlign w:val="bottom"/>
          </w:tcPr>
          <w:p w14:paraId="2BC79D39" w14:textId="39347D56" w:rsidR="00A0129B" w:rsidRPr="001E192F" w:rsidRDefault="00A0129B" w:rsidP="009A2C29">
            <w:pPr>
              <w:pStyle w:val="TableBody"/>
              <w:rPr>
                <w:szCs w:val="24"/>
              </w:rPr>
            </w:pPr>
            <w:r w:rsidRPr="001E192F">
              <w:rPr>
                <w:color w:val="000000"/>
                <w:szCs w:val="24"/>
              </w:rPr>
              <w:t>(-2.064)</w:t>
            </w:r>
          </w:p>
        </w:tc>
        <w:tc>
          <w:tcPr>
            <w:tcW w:w="1800" w:type="dxa"/>
            <w:vAlign w:val="bottom"/>
          </w:tcPr>
          <w:p w14:paraId="23E7678E" w14:textId="2F39905E" w:rsidR="00A0129B" w:rsidRPr="001E192F" w:rsidRDefault="00A0129B" w:rsidP="009A2C29">
            <w:pPr>
              <w:pStyle w:val="TableBody"/>
              <w:rPr>
                <w:szCs w:val="24"/>
              </w:rPr>
            </w:pPr>
            <w:r w:rsidRPr="001E192F">
              <w:rPr>
                <w:color w:val="000000"/>
                <w:szCs w:val="24"/>
              </w:rPr>
              <w:t>(-5.386)</w:t>
            </w:r>
          </w:p>
        </w:tc>
        <w:tc>
          <w:tcPr>
            <w:tcW w:w="1260" w:type="dxa"/>
            <w:vAlign w:val="bottom"/>
          </w:tcPr>
          <w:p w14:paraId="7F7C6FE0" w14:textId="75960E7C" w:rsidR="00A0129B" w:rsidRPr="001E192F" w:rsidRDefault="00A0129B" w:rsidP="009A2C29">
            <w:pPr>
              <w:pStyle w:val="TableBody"/>
              <w:rPr>
                <w:szCs w:val="24"/>
              </w:rPr>
            </w:pPr>
            <w:r w:rsidRPr="001E192F">
              <w:rPr>
                <w:color w:val="000000"/>
                <w:szCs w:val="24"/>
              </w:rPr>
              <w:t>(-5.477)</w:t>
            </w:r>
          </w:p>
        </w:tc>
      </w:tr>
      <w:tr w:rsidR="00C000B0" w:rsidRPr="001E192F" w14:paraId="6DAEF9C3" w14:textId="77777777" w:rsidTr="00F05C2D">
        <w:trPr>
          <w:trHeight w:val="281"/>
        </w:trPr>
        <w:tc>
          <w:tcPr>
            <w:tcW w:w="1890" w:type="dxa"/>
          </w:tcPr>
          <w:p w14:paraId="29D2AF31" w14:textId="77777777" w:rsidR="004633E6" w:rsidRPr="001E192F" w:rsidRDefault="004633E6" w:rsidP="009A2C29">
            <w:pPr>
              <w:pStyle w:val="TableBody"/>
              <w:rPr>
                <w:szCs w:val="24"/>
              </w:rPr>
            </w:pPr>
          </w:p>
        </w:tc>
        <w:tc>
          <w:tcPr>
            <w:tcW w:w="1359" w:type="dxa"/>
            <w:vAlign w:val="bottom"/>
          </w:tcPr>
          <w:p w14:paraId="1297A459" w14:textId="77777777" w:rsidR="004633E6" w:rsidRPr="001E192F" w:rsidRDefault="004633E6" w:rsidP="009A2C29">
            <w:pPr>
              <w:pStyle w:val="TableBody"/>
              <w:rPr>
                <w:color w:val="000000"/>
                <w:szCs w:val="24"/>
              </w:rPr>
            </w:pPr>
          </w:p>
        </w:tc>
        <w:tc>
          <w:tcPr>
            <w:tcW w:w="1356" w:type="dxa"/>
            <w:vAlign w:val="bottom"/>
          </w:tcPr>
          <w:p w14:paraId="5E88B0FD" w14:textId="77777777" w:rsidR="004633E6" w:rsidRPr="001E192F" w:rsidRDefault="004633E6" w:rsidP="009A2C29">
            <w:pPr>
              <w:pStyle w:val="TableBody"/>
              <w:rPr>
                <w:color w:val="000000"/>
                <w:szCs w:val="24"/>
              </w:rPr>
            </w:pPr>
          </w:p>
        </w:tc>
        <w:tc>
          <w:tcPr>
            <w:tcW w:w="1245" w:type="dxa"/>
            <w:vAlign w:val="bottom"/>
          </w:tcPr>
          <w:p w14:paraId="3CFABEC4" w14:textId="77777777" w:rsidR="004633E6" w:rsidRPr="001E192F" w:rsidRDefault="004633E6" w:rsidP="009A2C29">
            <w:pPr>
              <w:pStyle w:val="TableBody"/>
              <w:rPr>
                <w:color w:val="000000"/>
                <w:szCs w:val="24"/>
              </w:rPr>
            </w:pPr>
          </w:p>
        </w:tc>
        <w:tc>
          <w:tcPr>
            <w:tcW w:w="1440" w:type="dxa"/>
            <w:vAlign w:val="bottom"/>
          </w:tcPr>
          <w:p w14:paraId="7A752B68" w14:textId="77777777" w:rsidR="004633E6" w:rsidRPr="001E192F" w:rsidRDefault="004633E6" w:rsidP="009A2C29">
            <w:pPr>
              <w:pStyle w:val="TableBody"/>
              <w:rPr>
                <w:color w:val="000000"/>
                <w:szCs w:val="24"/>
              </w:rPr>
            </w:pPr>
          </w:p>
        </w:tc>
        <w:tc>
          <w:tcPr>
            <w:tcW w:w="1800" w:type="dxa"/>
            <w:vAlign w:val="bottom"/>
          </w:tcPr>
          <w:p w14:paraId="7C0F3C8C" w14:textId="77777777" w:rsidR="004633E6" w:rsidRPr="001E192F" w:rsidRDefault="004633E6" w:rsidP="009A2C29">
            <w:pPr>
              <w:pStyle w:val="TableBody"/>
              <w:rPr>
                <w:color w:val="000000"/>
                <w:szCs w:val="24"/>
              </w:rPr>
            </w:pPr>
          </w:p>
        </w:tc>
        <w:tc>
          <w:tcPr>
            <w:tcW w:w="1260" w:type="dxa"/>
            <w:vAlign w:val="bottom"/>
          </w:tcPr>
          <w:p w14:paraId="6F92CC27" w14:textId="77777777" w:rsidR="004633E6" w:rsidRPr="001E192F" w:rsidRDefault="004633E6" w:rsidP="009A2C29">
            <w:pPr>
              <w:pStyle w:val="TableBody"/>
              <w:rPr>
                <w:color w:val="000000"/>
                <w:szCs w:val="24"/>
              </w:rPr>
            </w:pPr>
          </w:p>
        </w:tc>
      </w:tr>
      <w:tr w:rsidR="00C000B0" w:rsidRPr="001E192F" w14:paraId="696A45C3" w14:textId="77777777" w:rsidTr="00F05C2D">
        <w:trPr>
          <w:trHeight w:val="281"/>
        </w:trPr>
        <w:tc>
          <w:tcPr>
            <w:tcW w:w="1890" w:type="dxa"/>
          </w:tcPr>
          <w:p w14:paraId="6CB0A8F2" w14:textId="0C39A4C9" w:rsidR="00A0129B" w:rsidRPr="001E192F" w:rsidRDefault="00A0129B" w:rsidP="009A2C29">
            <w:pPr>
              <w:pStyle w:val="TableBody"/>
              <w:rPr>
                <w:szCs w:val="24"/>
              </w:rPr>
            </w:pPr>
            <w:r w:rsidRPr="001E192F">
              <w:rPr>
                <w:szCs w:val="24"/>
              </w:rPr>
              <w:t xml:space="preserve">Exclude </w:t>
            </w:r>
          </w:p>
        </w:tc>
        <w:tc>
          <w:tcPr>
            <w:tcW w:w="1359" w:type="dxa"/>
            <w:vAlign w:val="bottom"/>
          </w:tcPr>
          <w:p w14:paraId="504E3689" w14:textId="2A82F3D1" w:rsidR="00A0129B" w:rsidRPr="001E192F" w:rsidRDefault="00A0129B" w:rsidP="009A2C29">
            <w:pPr>
              <w:pStyle w:val="TableBody"/>
              <w:rPr>
                <w:szCs w:val="24"/>
              </w:rPr>
            </w:pPr>
            <w:r w:rsidRPr="001E192F">
              <w:rPr>
                <w:color w:val="000000"/>
                <w:szCs w:val="24"/>
              </w:rPr>
              <w:t>0.111**</w:t>
            </w:r>
          </w:p>
        </w:tc>
        <w:tc>
          <w:tcPr>
            <w:tcW w:w="1356" w:type="dxa"/>
            <w:vAlign w:val="bottom"/>
          </w:tcPr>
          <w:p w14:paraId="638F11E4" w14:textId="6034E463" w:rsidR="00A0129B" w:rsidRPr="001E192F" w:rsidRDefault="00A0129B" w:rsidP="009A2C29">
            <w:pPr>
              <w:pStyle w:val="TableBody"/>
              <w:rPr>
                <w:szCs w:val="24"/>
              </w:rPr>
            </w:pPr>
            <w:r w:rsidRPr="001E192F">
              <w:rPr>
                <w:color w:val="000000"/>
                <w:szCs w:val="24"/>
              </w:rPr>
              <w:t>0.078</w:t>
            </w:r>
          </w:p>
        </w:tc>
        <w:tc>
          <w:tcPr>
            <w:tcW w:w="1245" w:type="dxa"/>
            <w:vAlign w:val="bottom"/>
          </w:tcPr>
          <w:p w14:paraId="02AE35CB" w14:textId="44C6E836" w:rsidR="00A0129B" w:rsidRPr="001E192F" w:rsidRDefault="00A0129B" w:rsidP="009A2C29">
            <w:pPr>
              <w:pStyle w:val="TableBody"/>
              <w:rPr>
                <w:szCs w:val="24"/>
              </w:rPr>
            </w:pPr>
            <w:r w:rsidRPr="001E192F">
              <w:rPr>
                <w:color w:val="000000"/>
                <w:szCs w:val="24"/>
              </w:rPr>
              <w:t>0.178**</w:t>
            </w:r>
          </w:p>
        </w:tc>
        <w:tc>
          <w:tcPr>
            <w:tcW w:w="1440" w:type="dxa"/>
            <w:vAlign w:val="bottom"/>
          </w:tcPr>
          <w:p w14:paraId="705257AD" w14:textId="7EE88FB1" w:rsidR="00A0129B" w:rsidRPr="001E192F" w:rsidRDefault="00A0129B" w:rsidP="009A2C29">
            <w:pPr>
              <w:pStyle w:val="TableBody"/>
              <w:rPr>
                <w:szCs w:val="24"/>
              </w:rPr>
            </w:pPr>
            <w:r w:rsidRPr="001E192F">
              <w:rPr>
                <w:color w:val="000000"/>
                <w:szCs w:val="24"/>
              </w:rPr>
              <w:t>-0.007</w:t>
            </w:r>
          </w:p>
        </w:tc>
        <w:tc>
          <w:tcPr>
            <w:tcW w:w="1800" w:type="dxa"/>
            <w:vAlign w:val="bottom"/>
          </w:tcPr>
          <w:p w14:paraId="21FA8B20" w14:textId="5A328226" w:rsidR="00A0129B" w:rsidRPr="001E192F" w:rsidRDefault="00A0129B" w:rsidP="009A2C29">
            <w:pPr>
              <w:pStyle w:val="TableBody"/>
              <w:rPr>
                <w:szCs w:val="24"/>
              </w:rPr>
            </w:pPr>
            <w:r w:rsidRPr="001E192F">
              <w:rPr>
                <w:color w:val="000000"/>
                <w:szCs w:val="24"/>
              </w:rPr>
              <w:t>-0.450***</w:t>
            </w:r>
          </w:p>
        </w:tc>
        <w:tc>
          <w:tcPr>
            <w:tcW w:w="1260" w:type="dxa"/>
            <w:vAlign w:val="bottom"/>
          </w:tcPr>
          <w:p w14:paraId="23B81E2C" w14:textId="4C317096" w:rsidR="00A0129B" w:rsidRPr="001E192F" w:rsidRDefault="00A0129B" w:rsidP="009A2C29">
            <w:pPr>
              <w:pStyle w:val="TableBody"/>
              <w:rPr>
                <w:szCs w:val="24"/>
              </w:rPr>
            </w:pPr>
            <w:r w:rsidRPr="001E192F">
              <w:rPr>
                <w:color w:val="000000"/>
                <w:szCs w:val="24"/>
              </w:rPr>
              <w:t>-0.561***</w:t>
            </w:r>
          </w:p>
        </w:tc>
      </w:tr>
      <w:tr w:rsidR="00C000B0" w:rsidRPr="001E192F" w14:paraId="208D8A38" w14:textId="77777777" w:rsidTr="00F05C2D">
        <w:trPr>
          <w:trHeight w:val="281"/>
        </w:trPr>
        <w:tc>
          <w:tcPr>
            <w:tcW w:w="1890" w:type="dxa"/>
          </w:tcPr>
          <w:p w14:paraId="2D034A7E" w14:textId="1A736333" w:rsidR="00A0129B" w:rsidRPr="001E192F" w:rsidRDefault="00A0129B" w:rsidP="009A2C29">
            <w:pPr>
              <w:pStyle w:val="TableBody"/>
              <w:rPr>
                <w:szCs w:val="24"/>
              </w:rPr>
            </w:pPr>
            <w:r w:rsidRPr="001E192F">
              <w:rPr>
                <w:szCs w:val="24"/>
              </w:rPr>
              <w:t>&lt; $10</w:t>
            </w:r>
          </w:p>
        </w:tc>
        <w:tc>
          <w:tcPr>
            <w:tcW w:w="1359" w:type="dxa"/>
            <w:vAlign w:val="bottom"/>
          </w:tcPr>
          <w:p w14:paraId="724D98E4" w14:textId="17E522AF" w:rsidR="00A0129B" w:rsidRPr="001E192F" w:rsidRDefault="00A0129B" w:rsidP="009A2C29">
            <w:pPr>
              <w:pStyle w:val="TableBody"/>
              <w:rPr>
                <w:szCs w:val="24"/>
              </w:rPr>
            </w:pPr>
            <w:r w:rsidRPr="001E192F">
              <w:rPr>
                <w:color w:val="000000"/>
                <w:szCs w:val="24"/>
              </w:rPr>
              <w:t>(2.250)</w:t>
            </w:r>
          </w:p>
        </w:tc>
        <w:tc>
          <w:tcPr>
            <w:tcW w:w="1356" w:type="dxa"/>
            <w:vAlign w:val="bottom"/>
          </w:tcPr>
          <w:p w14:paraId="25EF49DB" w14:textId="0AEF6910" w:rsidR="00A0129B" w:rsidRPr="001E192F" w:rsidRDefault="00A0129B" w:rsidP="009A2C29">
            <w:pPr>
              <w:pStyle w:val="TableBody"/>
              <w:rPr>
                <w:szCs w:val="24"/>
              </w:rPr>
            </w:pPr>
            <w:r w:rsidRPr="001E192F">
              <w:rPr>
                <w:color w:val="000000"/>
                <w:szCs w:val="24"/>
              </w:rPr>
              <w:t>(1.404)</w:t>
            </w:r>
          </w:p>
        </w:tc>
        <w:tc>
          <w:tcPr>
            <w:tcW w:w="1245" w:type="dxa"/>
            <w:vAlign w:val="bottom"/>
          </w:tcPr>
          <w:p w14:paraId="67F1271B" w14:textId="593320CA" w:rsidR="00A0129B" w:rsidRPr="001E192F" w:rsidRDefault="00A0129B" w:rsidP="009A2C29">
            <w:pPr>
              <w:pStyle w:val="TableBody"/>
              <w:rPr>
                <w:szCs w:val="24"/>
              </w:rPr>
            </w:pPr>
            <w:r w:rsidRPr="001E192F">
              <w:rPr>
                <w:color w:val="000000"/>
                <w:szCs w:val="24"/>
              </w:rPr>
              <w:t>(2.479)</w:t>
            </w:r>
          </w:p>
        </w:tc>
        <w:tc>
          <w:tcPr>
            <w:tcW w:w="1440" w:type="dxa"/>
            <w:vAlign w:val="bottom"/>
          </w:tcPr>
          <w:p w14:paraId="29761AC4" w14:textId="08E41676" w:rsidR="00A0129B" w:rsidRPr="001E192F" w:rsidRDefault="00A0129B" w:rsidP="009A2C29">
            <w:pPr>
              <w:pStyle w:val="TableBody"/>
              <w:rPr>
                <w:szCs w:val="24"/>
              </w:rPr>
            </w:pPr>
            <w:r w:rsidRPr="001E192F">
              <w:rPr>
                <w:color w:val="000000"/>
                <w:szCs w:val="24"/>
              </w:rPr>
              <w:t>(-0.085)</w:t>
            </w:r>
          </w:p>
        </w:tc>
        <w:tc>
          <w:tcPr>
            <w:tcW w:w="1800" w:type="dxa"/>
            <w:vAlign w:val="bottom"/>
          </w:tcPr>
          <w:p w14:paraId="32ED9085" w14:textId="3E931DB4" w:rsidR="00A0129B" w:rsidRPr="001E192F" w:rsidRDefault="00A0129B" w:rsidP="009A2C29">
            <w:pPr>
              <w:pStyle w:val="TableBody"/>
              <w:rPr>
                <w:szCs w:val="24"/>
              </w:rPr>
            </w:pPr>
            <w:r w:rsidRPr="001E192F">
              <w:rPr>
                <w:color w:val="000000"/>
                <w:szCs w:val="24"/>
              </w:rPr>
              <w:t>(-3.729)</w:t>
            </w:r>
          </w:p>
        </w:tc>
        <w:tc>
          <w:tcPr>
            <w:tcW w:w="1260" w:type="dxa"/>
            <w:vAlign w:val="bottom"/>
          </w:tcPr>
          <w:p w14:paraId="5ECE0473" w14:textId="4481E152" w:rsidR="00A0129B" w:rsidRPr="001E192F" w:rsidRDefault="00A0129B" w:rsidP="009A2C29">
            <w:pPr>
              <w:pStyle w:val="TableBody"/>
              <w:rPr>
                <w:szCs w:val="24"/>
              </w:rPr>
            </w:pPr>
            <w:r w:rsidRPr="001E192F">
              <w:rPr>
                <w:color w:val="000000"/>
                <w:szCs w:val="24"/>
              </w:rPr>
              <w:t>(-3.914)</w:t>
            </w:r>
          </w:p>
        </w:tc>
      </w:tr>
      <w:tr w:rsidR="00C000B0" w:rsidRPr="001E192F" w14:paraId="58671214" w14:textId="77777777" w:rsidTr="00F05C2D">
        <w:trPr>
          <w:trHeight w:val="281"/>
        </w:trPr>
        <w:tc>
          <w:tcPr>
            <w:tcW w:w="1890" w:type="dxa"/>
          </w:tcPr>
          <w:p w14:paraId="70FC4308" w14:textId="77777777" w:rsidR="004633E6" w:rsidRPr="001E192F" w:rsidRDefault="004633E6" w:rsidP="009A2C29">
            <w:pPr>
              <w:pStyle w:val="TableBody"/>
              <w:rPr>
                <w:szCs w:val="24"/>
              </w:rPr>
            </w:pPr>
          </w:p>
        </w:tc>
        <w:tc>
          <w:tcPr>
            <w:tcW w:w="1359" w:type="dxa"/>
            <w:vAlign w:val="bottom"/>
          </w:tcPr>
          <w:p w14:paraId="18A48F0E" w14:textId="77777777" w:rsidR="004633E6" w:rsidRPr="001E192F" w:rsidRDefault="004633E6" w:rsidP="009A2C29">
            <w:pPr>
              <w:pStyle w:val="TableBody"/>
              <w:rPr>
                <w:color w:val="000000"/>
                <w:szCs w:val="24"/>
              </w:rPr>
            </w:pPr>
          </w:p>
        </w:tc>
        <w:tc>
          <w:tcPr>
            <w:tcW w:w="1356" w:type="dxa"/>
            <w:vAlign w:val="bottom"/>
          </w:tcPr>
          <w:p w14:paraId="7C10DD61" w14:textId="77777777" w:rsidR="004633E6" w:rsidRPr="001E192F" w:rsidRDefault="004633E6" w:rsidP="009A2C29">
            <w:pPr>
              <w:pStyle w:val="TableBody"/>
              <w:rPr>
                <w:color w:val="000000"/>
                <w:szCs w:val="24"/>
              </w:rPr>
            </w:pPr>
          </w:p>
        </w:tc>
        <w:tc>
          <w:tcPr>
            <w:tcW w:w="1245" w:type="dxa"/>
            <w:vAlign w:val="bottom"/>
          </w:tcPr>
          <w:p w14:paraId="2E09D584" w14:textId="77777777" w:rsidR="004633E6" w:rsidRPr="001E192F" w:rsidRDefault="004633E6" w:rsidP="009A2C29">
            <w:pPr>
              <w:pStyle w:val="TableBody"/>
              <w:rPr>
                <w:color w:val="000000"/>
                <w:szCs w:val="24"/>
              </w:rPr>
            </w:pPr>
          </w:p>
        </w:tc>
        <w:tc>
          <w:tcPr>
            <w:tcW w:w="1440" w:type="dxa"/>
            <w:vAlign w:val="bottom"/>
          </w:tcPr>
          <w:p w14:paraId="4A50E56C" w14:textId="77777777" w:rsidR="004633E6" w:rsidRPr="001E192F" w:rsidRDefault="004633E6" w:rsidP="009A2C29">
            <w:pPr>
              <w:pStyle w:val="TableBody"/>
              <w:rPr>
                <w:color w:val="000000"/>
                <w:szCs w:val="24"/>
              </w:rPr>
            </w:pPr>
          </w:p>
        </w:tc>
        <w:tc>
          <w:tcPr>
            <w:tcW w:w="1800" w:type="dxa"/>
            <w:vAlign w:val="bottom"/>
          </w:tcPr>
          <w:p w14:paraId="1C7E2A1E" w14:textId="77777777" w:rsidR="004633E6" w:rsidRPr="001E192F" w:rsidRDefault="004633E6" w:rsidP="009A2C29">
            <w:pPr>
              <w:pStyle w:val="TableBody"/>
              <w:rPr>
                <w:color w:val="000000"/>
                <w:szCs w:val="24"/>
              </w:rPr>
            </w:pPr>
          </w:p>
        </w:tc>
        <w:tc>
          <w:tcPr>
            <w:tcW w:w="1260" w:type="dxa"/>
            <w:vAlign w:val="bottom"/>
          </w:tcPr>
          <w:p w14:paraId="2F22781F" w14:textId="77777777" w:rsidR="004633E6" w:rsidRPr="001E192F" w:rsidRDefault="004633E6" w:rsidP="009A2C29">
            <w:pPr>
              <w:pStyle w:val="TableBody"/>
              <w:rPr>
                <w:color w:val="000000"/>
                <w:szCs w:val="24"/>
              </w:rPr>
            </w:pPr>
          </w:p>
        </w:tc>
      </w:tr>
      <w:tr w:rsidR="00C000B0" w:rsidRPr="001E192F" w14:paraId="3E5E8136" w14:textId="77777777" w:rsidTr="00F05C2D">
        <w:trPr>
          <w:trHeight w:val="281"/>
        </w:trPr>
        <w:tc>
          <w:tcPr>
            <w:tcW w:w="1890" w:type="dxa"/>
          </w:tcPr>
          <w:p w14:paraId="052D7AC9" w14:textId="77777777" w:rsidR="00A0129B" w:rsidRPr="001E192F" w:rsidRDefault="00A0129B" w:rsidP="009A2C29">
            <w:pPr>
              <w:pStyle w:val="TableBody"/>
              <w:rPr>
                <w:szCs w:val="24"/>
              </w:rPr>
            </w:pPr>
            <w:r w:rsidRPr="001E192F">
              <w:rPr>
                <w:szCs w:val="24"/>
              </w:rPr>
              <w:t>NYSE Break-</w:t>
            </w:r>
          </w:p>
        </w:tc>
        <w:tc>
          <w:tcPr>
            <w:tcW w:w="1359" w:type="dxa"/>
            <w:vAlign w:val="bottom"/>
          </w:tcPr>
          <w:p w14:paraId="3CCC2B9D" w14:textId="7CC0282E" w:rsidR="00A0129B" w:rsidRPr="001E192F" w:rsidRDefault="00A0129B" w:rsidP="009A2C29">
            <w:pPr>
              <w:pStyle w:val="TableBody"/>
              <w:rPr>
                <w:szCs w:val="24"/>
              </w:rPr>
            </w:pPr>
            <w:r w:rsidRPr="001E192F">
              <w:rPr>
                <w:color w:val="000000"/>
                <w:szCs w:val="24"/>
              </w:rPr>
              <w:t>0.136***</w:t>
            </w:r>
          </w:p>
        </w:tc>
        <w:tc>
          <w:tcPr>
            <w:tcW w:w="1356" w:type="dxa"/>
            <w:vAlign w:val="bottom"/>
          </w:tcPr>
          <w:p w14:paraId="7FB20185" w14:textId="0C251024" w:rsidR="00A0129B" w:rsidRPr="001E192F" w:rsidRDefault="00A0129B" w:rsidP="009A2C29">
            <w:pPr>
              <w:pStyle w:val="TableBody"/>
              <w:rPr>
                <w:szCs w:val="24"/>
              </w:rPr>
            </w:pPr>
            <w:r w:rsidRPr="001E192F">
              <w:rPr>
                <w:color w:val="000000"/>
                <w:szCs w:val="24"/>
              </w:rPr>
              <w:t>0.147**</w:t>
            </w:r>
          </w:p>
        </w:tc>
        <w:tc>
          <w:tcPr>
            <w:tcW w:w="1245" w:type="dxa"/>
            <w:vAlign w:val="bottom"/>
          </w:tcPr>
          <w:p w14:paraId="6AF14333" w14:textId="7902C0AA" w:rsidR="00A0129B" w:rsidRPr="001E192F" w:rsidRDefault="00A0129B" w:rsidP="009A2C29">
            <w:pPr>
              <w:pStyle w:val="TableBody"/>
              <w:rPr>
                <w:szCs w:val="24"/>
              </w:rPr>
            </w:pPr>
            <w:r w:rsidRPr="001E192F">
              <w:rPr>
                <w:color w:val="000000"/>
                <w:szCs w:val="24"/>
              </w:rPr>
              <w:t>0.109</w:t>
            </w:r>
          </w:p>
        </w:tc>
        <w:tc>
          <w:tcPr>
            <w:tcW w:w="1440" w:type="dxa"/>
            <w:vAlign w:val="bottom"/>
          </w:tcPr>
          <w:p w14:paraId="44ABED58" w14:textId="7891A98B" w:rsidR="00A0129B" w:rsidRPr="001E192F" w:rsidRDefault="00A0129B" w:rsidP="009A2C29">
            <w:pPr>
              <w:pStyle w:val="TableBody"/>
              <w:rPr>
                <w:szCs w:val="24"/>
              </w:rPr>
            </w:pPr>
            <w:r w:rsidRPr="001E192F">
              <w:rPr>
                <w:color w:val="000000"/>
                <w:szCs w:val="24"/>
              </w:rPr>
              <w:t>0.085</w:t>
            </w:r>
          </w:p>
        </w:tc>
        <w:tc>
          <w:tcPr>
            <w:tcW w:w="1800" w:type="dxa"/>
            <w:vAlign w:val="bottom"/>
          </w:tcPr>
          <w:p w14:paraId="12BD1F84" w14:textId="453AAEBA" w:rsidR="00A0129B" w:rsidRPr="001E192F" w:rsidRDefault="00A0129B" w:rsidP="009A2C29">
            <w:pPr>
              <w:pStyle w:val="TableBody"/>
              <w:rPr>
                <w:szCs w:val="24"/>
              </w:rPr>
            </w:pPr>
            <w:r w:rsidRPr="001E192F">
              <w:rPr>
                <w:color w:val="000000"/>
                <w:szCs w:val="24"/>
              </w:rPr>
              <w:t>-0.530***</w:t>
            </w:r>
          </w:p>
        </w:tc>
        <w:tc>
          <w:tcPr>
            <w:tcW w:w="1260" w:type="dxa"/>
            <w:vAlign w:val="bottom"/>
          </w:tcPr>
          <w:p w14:paraId="7C6EB68F" w14:textId="0170DD25" w:rsidR="00A0129B" w:rsidRPr="001E192F" w:rsidRDefault="00A0129B" w:rsidP="009A2C29">
            <w:pPr>
              <w:pStyle w:val="TableBody"/>
              <w:rPr>
                <w:szCs w:val="24"/>
              </w:rPr>
            </w:pPr>
            <w:r w:rsidRPr="001E192F">
              <w:rPr>
                <w:color w:val="000000"/>
                <w:szCs w:val="24"/>
              </w:rPr>
              <w:t>-0.667***</w:t>
            </w:r>
          </w:p>
        </w:tc>
      </w:tr>
      <w:tr w:rsidR="00C000B0" w:rsidRPr="001E192F" w14:paraId="46656F64" w14:textId="77777777" w:rsidTr="00F05C2D">
        <w:trPr>
          <w:trHeight w:val="281"/>
        </w:trPr>
        <w:tc>
          <w:tcPr>
            <w:tcW w:w="1890" w:type="dxa"/>
          </w:tcPr>
          <w:p w14:paraId="4A8FD8CC" w14:textId="28CF8F2D" w:rsidR="00A0129B" w:rsidRPr="001E192F" w:rsidRDefault="00A0129B" w:rsidP="009A2C29">
            <w:pPr>
              <w:pStyle w:val="TableBody"/>
              <w:rPr>
                <w:szCs w:val="24"/>
              </w:rPr>
            </w:pPr>
            <w:proofErr w:type="gramStart"/>
            <w:r w:rsidRPr="001E192F">
              <w:rPr>
                <w:szCs w:val="24"/>
              </w:rPr>
              <w:t>points</w:t>
            </w:r>
            <w:proofErr w:type="gramEnd"/>
          </w:p>
        </w:tc>
        <w:tc>
          <w:tcPr>
            <w:tcW w:w="1359" w:type="dxa"/>
            <w:vAlign w:val="bottom"/>
          </w:tcPr>
          <w:p w14:paraId="0B7CDE55" w14:textId="7B02341D" w:rsidR="00A0129B" w:rsidRPr="001E192F" w:rsidRDefault="00A0129B" w:rsidP="009A2C29">
            <w:pPr>
              <w:pStyle w:val="TableBody"/>
              <w:rPr>
                <w:szCs w:val="24"/>
              </w:rPr>
            </w:pPr>
            <w:r w:rsidRPr="001E192F">
              <w:rPr>
                <w:color w:val="000000"/>
                <w:szCs w:val="24"/>
              </w:rPr>
              <w:t>(2.694)</w:t>
            </w:r>
          </w:p>
        </w:tc>
        <w:tc>
          <w:tcPr>
            <w:tcW w:w="1356" w:type="dxa"/>
            <w:vAlign w:val="bottom"/>
          </w:tcPr>
          <w:p w14:paraId="506A1CA6" w14:textId="043A9545" w:rsidR="00A0129B" w:rsidRPr="001E192F" w:rsidRDefault="00A0129B" w:rsidP="009A2C29">
            <w:pPr>
              <w:pStyle w:val="TableBody"/>
              <w:rPr>
                <w:szCs w:val="24"/>
              </w:rPr>
            </w:pPr>
            <w:r w:rsidRPr="001E192F">
              <w:rPr>
                <w:color w:val="000000"/>
                <w:szCs w:val="24"/>
              </w:rPr>
              <w:t>(2.483)</w:t>
            </w:r>
          </w:p>
        </w:tc>
        <w:tc>
          <w:tcPr>
            <w:tcW w:w="1245" w:type="dxa"/>
            <w:vAlign w:val="bottom"/>
          </w:tcPr>
          <w:p w14:paraId="11D9E7DF" w14:textId="1CDC4F93" w:rsidR="00A0129B" w:rsidRPr="001E192F" w:rsidRDefault="00A0129B" w:rsidP="009A2C29">
            <w:pPr>
              <w:pStyle w:val="TableBody"/>
              <w:rPr>
                <w:szCs w:val="24"/>
              </w:rPr>
            </w:pPr>
            <w:r w:rsidRPr="001E192F">
              <w:rPr>
                <w:color w:val="000000"/>
                <w:szCs w:val="24"/>
              </w:rPr>
              <w:t>(1.508)</w:t>
            </w:r>
          </w:p>
        </w:tc>
        <w:tc>
          <w:tcPr>
            <w:tcW w:w="1440" w:type="dxa"/>
            <w:vAlign w:val="bottom"/>
          </w:tcPr>
          <w:p w14:paraId="6FA10823" w14:textId="5EFCFF2D" w:rsidR="00A0129B" w:rsidRPr="001E192F" w:rsidRDefault="00A0129B" w:rsidP="009A2C29">
            <w:pPr>
              <w:pStyle w:val="TableBody"/>
              <w:rPr>
                <w:szCs w:val="24"/>
              </w:rPr>
            </w:pPr>
            <w:r w:rsidRPr="001E192F">
              <w:rPr>
                <w:color w:val="000000"/>
                <w:szCs w:val="24"/>
              </w:rPr>
              <w:t>(1.026)</w:t>
            </w:r>
          </w:p>
        </w:tc>
        <w:tc>
          <w:tcPr>
            <w:tcW w:w="1800" w:type="dxa"/>
            <w:vAlign w:val="bottom"/>
          </w:tcPr>
          <w:p w14:paraId="0FC2146A" w14:textId="7966FE10" w:rsidR="00A0129B" w:rsidRPr="001E192F" w:rsidRDefault="00A0129B" w:rsidP="009A2C29">
            <w:pPr>
              <w:pStyle w:val="TableBody"/>
              <w:rPr>
                <w:szCs w:val="24"/>
              </w:rPr>
            </w:pPr>
            <w:r w:rsidRPr="001E192F">
              <w:rPr>
                <w:color w:val="000000"/>
                <w:szCs w:val="24"/>
              </w:rPr>
              <w:t>(-5.625)</w:t>
            </w:r>
          </w:p>
        </w:tc>
        <w:tc>
          <w:tcPr>
            <w:tcW w:w="1260" w:type="dxa"/>
            <w:vAlign w:val="bottom"/>
          </w:tcPr>
          <w:p w14:paraId="2395D6FD" w14:textId="125E72F8" w:rsidR="00A0129B" w:rsidRPr="001E192F" w:rsidRDefault="00A0129B" w:rsidP="009A2C29">
            <w:pPr>
              <w:pStyle w:val="TableBody"/>
              <w:rPr>
                <w:szCs w:val="24"/>
              </w:rPr>
            </w:pPr>
            <w:r w:rsidRPr="001E192F">
              <w:rPr>
                <w:color w:val="000000"/>
                <w:szCs w:val="24"/>
              </w:rPr>
              <w:t>(-5.515)</w:t>
            </w:r>
          </w:p>
        </w:tc>
      </w:tr>
      <w:tr w:rsidR="00C000B0" w:rsidRPr="001E192F" w14:paraId="643371B4" w14:textId="77777777" w:rsidTr="00F05C2D">
        <w:trPr>
          <w:trHeight w:val="281"/>
        </w:trPr>
        <w:tc>
          <w:tcPr>
            <w:tcW w:w="1890" w:type="dxa"/>
          </w:tcPr>
          <w:p w14:paraId="3C6F341B" w14:textId="77777777" w:rsidR="004633E6" w:rsidRPr="001E192F" w:rsidRDefault="004633E6" w:rsidP="009A2C29">
            <w:pPr>
              <w:pStyle w:val="TableBody"/>
              <w:rPr>
                <w:szCs w:val="24"/>
              </w:rPr>
            </w:pPr>
          </w:p>
        </w:tc>
        <w:tc>
          <w:tcPr>
            <w:tcW w:w="1359" w:type="dxa"/>
            <w:vAlign w:val="bottom"/>
          </w:tcPr>
          <w:p w14:paraId="112ED56A" w14:textId="77777777" w:rsidR="004633E6" w:rsidRPr="001E192F" w:rsidRDefault="004633E6" w:rsidP="009A2C29">
            <w:pPr>
              <w:pStyle w:val="TableBody"/>
              <w:rPr>
                <w:color w:val="000000"/>
                <w:szCs w:val="24"/>
              </w:rPr>
            </w:pPr>
          </w:p>
        </w:tc>
        <w:tc>
          <w:tcPr>
            <w:tcW w:w="1356" w:type="dxa"/>
            <w:vAlign w:val="bottom"/>
          </w:tcPr>
          <w:p w14:paraId="4CBE02AC" w14:textId="77777777" w:rsidR="004633E6" w:rsidRPr="001E192F" w:rsidRDefault="004633E6" w:rsidP="009A2C29">
            <w:pPr>
              <w:pStyle w:val="TableBody"/>
              <w:rPr>
                <w:color w:val="000000"/>
                <w:szCs w:val="24"/>
              </w:rPr>
            </w:pPr>
          </w:p>
        </w:tc>
        <w:tc>
          <w:tcPr>
            <w:tcW w:w="1245" w:type="dxa"/>
            <w:vAlign w:val="bottom"/>
          </w:tcPr>
          <w:p w14:paraId="30795F0C" w14:textId="77777777" w:rsidR="004633E6" w:rsidRPr="001E192F" w:rsidRDefault="004633E6" w:rsidP="009A2C29">
            <w:pPr>
              <w:pStyle w:val="TableBody"/>
              <w:rPr>
                <w:color w:val="000000"/>
                <w:szCs w:val="24"/>
              </w:rPr>
            </w:pPr>
          </w:p>
        </w:tc>
        <w:tc>
          <w:tcPr>
            <w:tcW w:w="1440" w:type="dxa"/>
            <w:vAlign w:val="bottom"/>
          </w:tcPr>
          <w:p w14:paraId="3B400BAD" w14:textId="77777777" w:rsidR="004633E6" w:rsidRPr="001E192F" w:rsidRDefault="004633E6" w:rsidP="009A2C29">
            <w:pPr>
              <w:pStyle w:val="TableBody"/>
              <w:rPr>
                <w:color w:val="000000"/>
                <w:szCs w:val="24"/>
              </w:rPr>
            </w:pPr>
          </w:p>
        </w:tc>
        <w:tc>
          <w:tcPr>
            <w:tcW w:w="1800" w:type="dxa"/>
            <w:vAlign w:val="bottom"/>
          </w:tcPr>
          <w:p w14:paraId="230CCE28" w14:textId="77777777" w:rsidR="004633E6" w:rsidRPr="001E192F" w:rsidRDefault="004633E6" w:rsidP="009A2C29">
            <w:pPr>
              <w:pStyle w:val="TableBody"/>
              <w:rPr>
                <w:color w:val="000000"/>
                <w:szCs w:val="24"/>
              </w:rPr>
            </w:pPr>
          </w:p>
        </w:tc>
        <w:tc>
          <w:tcPr>
            <w:tcW w:w="1260" w:type="dxa"/>
            <w:vAlign w:val="bottom"/>
          </w:tcPr>
          <w:p w14:paraId="3D4D93FF" w14:textId="77777777" w:rsidR="004633E6" w:rsidRPr="001E192F" w:rsidRDefault="004633E6" w:rsidP="009A2C29">
            <w:pPr>
              <w:pStyle w:val="TableBody"/>
              <w:rPr>
                <w:color w:val="000000"/>
                <w:szCs w:val="24"/>
              </w:rPr>
            </w:pPr>
          </w:p>
        </w:tc>
      </w:tr>
      <w:tr w:rsidR="00C000B0" w:rsidRPr="001E192F" w14:paraId="5AB0B9B7" w14:textId="77777777" w:rsidTr="00F05C2D">
        <w:trPr>
          <w:trHeight w:val="281"/>
        </w:trPr>
        <w:tc>
          <w:tcPr>
            <w:tcW w:w="1890" w:type="dxa"/>
          </w:tcPr>
          <w:p w14:paraId="249DFEF4" w14:textId="77777777" w:rsidR="00A0129B" w:rsidRPr="001E192F" w:rsidRDefault="00A0129B" w:rsidP="009A2C29">
            <w:pPr>
              <w:pStyle w:val="TableBody"/>
              <w:rPr>
                <w:szCs w:val="24"/>
              </w:rPr>
            </w:pPr>
            <w:r w:rsidRPr="001E192F">
              <w:rPr>
                <w:szCs w:val="24"/>
              </w:rPr>
              <w:t>Momentum</w:t>
            </w:r>
          </w:p>
        </w:tc>
        <w:tc>
          <w:tcPr>
            <w:tcW w:w="1359" w:type="dxa"/>
            <w:vAlign w:val="bottom"/>
          </w:tcPr>
          <w:p w14:paraId="5C4A9415" w14:textId="617F1321" w:rsidR="00A0129B" w:rsidRPr="001E192F" w:rsidRDefault="00A0129B" w:rsidP="009A2C29">
            <w:pPr>
              <w:pStyle w:val="TableBody"/>
              <w:rPr>
                <w:szCs w:val="24"/>
              </w:rPr>
            </w:pPr>
            <w:r w:rsidRPr="001E192F">
              <w:rPr>
                <w:color w:val="000000"/>
                <w:szCs w:val="24"/>
              </w:rPr>
              <w:t>0.131***</w:t>
            </w:r>
          </w:p>
        </w:tc>
        <w:tc>
          <w:tcPr>
            <w:tcW w:w="1356" w:type="dxa"/>
            <w:vAlign w:val="bottom"/>
          </w:tcPr>
          <w:p w14:paraId="341FC15F" w14:textId="20BD333D" w:rsidR="00A0129B" w:rsidRPr="001E192F" w:rsidRDefault="00A0129B" w:rsidP="009A2C29">
            <w:pPr>
              <w:pStyle w:val="TableBody"/>
              <w:rPr>
                <w:szCs w:val="24"/>
              </w:rPr>
            </w:pPr>
            <w:r w:rsidRPr="001E192F">
              <w:rPr>
                <w:color w:val="000000"/>
                <w:szCs w:val="24"/>
              </w:rPr>
              <w:t>0.187***</w:t>
            </w:r>
          </w:p>
        </w:tc>
        <w:tc>
          <w:tcPr>
            <w:tcW w:w="1245" w:type="dxa"/>
            <w:vAlign w:val="bottom"/>
          </w:tcPr>
          <w:p w14:paraId="414A27E3" w14:textId="24E3EED5" w:rsidR="00A0129B" w:rsidRPr="001E192F" w:rsidRDefault="00A0129B" w:rsidP="009A2C29">
            <w:pPr>
              <w:pStyle w:val="TableBody"/>
              <w:rPr>
                <w:szCs w:val="24"/>
              </w:rPr>
            </w:pPr>
            <w:r w:rsidRPr="001E192F">
              <w:rPr>
                <w:color w:val="000000"/>
                <w:szCs w:val="24"/>
              </w:rPr>
              <w:t>0.084</w:t>
            </w:r>
          </w:p>
        </w:tc>
        <w:tc>
          <w:tcPr>
            <w:tcW w:w="1440" w:type="dxa"/>
            <w:vAlign w:val="bottom"/>
          </w:tcPr>
          <w:p w14:paraId="54E90927" w14:textId="6A01618A" w:rsidR="00A0129B" w:rsidRPr="001E192F" w:rsidRDefault="00A0129B" w:rsidP="009A2C29">
            <w:pPr>
              <w:pStyle w:val="TableBody"/>
              <w:rPr>
                <w:szCs w:val="24"/>
              </w:rPr>
            </w:pPr>
            <w:r w:rsidRPr="001E192F">
              <w:rPr>
                <w:color w:val="000000"/>
                <w:szCs w:val="24"/>
              </w:rPr>
              <w:t>-0.236**</w:t>
            </w:r>
          </w:p>
        </w:tc>
        <w:tc>
          <w:tcPr>
            <w:tcW w:w="1800" w:type="dxa"/>
            <w:vAlign w:val="bottom"/>
          </w:tcPr>
          <w:p w14:paraId="0B110745" w14:textId="109D84CD" w:rsidR="00A0129B" w:rsidRPr="001E192F" w:rsidRDefault="00A0129B" w:rsidP="009A2C29">
            <w:pPr>
              <w:pStyle w:val="TableBody"/>
              <w:rPr>
                <w:szCs w:val="24"/>
              </w:rPr>
            </w:pPr>
            <w:r w:rsidRPr="001E192F">
              <w:rPr>
                <w:color w:val="000000"/>
                <w:szCs w:val="24"/>
              </w:rPr>
              <w:t>-1.208***</w:t>
            </w:r>
          </w:p>
        </w:tc>
        <w:tc>
          <w:tcPr>
            <w:tcW w:w="1260" w:type="dxa"/>
            <w:vAlign w:val="bottom"/>
          </w:tcPr>
          <w:p w14:paraId="27509D56" w14:textId="416397A2" w:rsidR="00A0129B" w:rsidRPr="001E192F" w:rsidRDefault="00A0129B" w:rsidP="009A2C29">
            <w:pPr>
              <w:pStyle w:val="TableBody"/>
              <w:rPr>
                <w:szCs w:val="24"/>
              </w:rPr>
            </w:pPr>
            <w:r w:rsidRPr="001E192F">
              <w:rPr>
                <w:color w:val="000000"/>
                <w:szCs w:val="24"/>
              </w:rPr>
              <w:t>-1.339***</w:t>
            </w:r>
          </w:p>
        </w:tc>
      </w:tr>
      <w:tr w:rsidR="00C000B0" w:rsidRPr="001E192F" w14:paraId="52C5F310" w14:textId="77777777" w:rsidTr="00F05C2D">
        <w:trPr>
          <w:trHeight w:val="281"/>
        </w:trPr>
        <w:tc>
          <w:tcPr>
            <w:tcW w:w="1890" w:type="dxa"/>
          </w:tcPr>
          <w:p w14:paraId="48D19AA4" w14:textId="77777777" w:rsidR="00A0129B" w:rsidRPr="001E192F" w:rsidRDefault="00A0129B" w:rsidP="009A2C29">
            <w:pPr>
              <w:pStyle w:val="TableBody"/>
              <w:rPr>
                <w:szCs w:val="24"/>
              </w:rPr>
            </w:pPr>
            <w:r w:rsidRPr="001E192F">
              <w:rPr>
                <w:szCs w:val="24"/>
              </w:rPr>
              <w:t>Factor</w:t>
            </w:r>
          </w:p>
        </w:tc>
        <w:tc>
          <w:tcPr>
            <w:tcW w:w="1359" w:type="dxa"/>
            <w:vAlign w:val="bottom"/>
          </w:tcPr>
          <w:p w14:paraId="2C265467" w14:textId="02F930FE" w:rsidR="00A0129B" w:rsidRPr="001E192F" w:rsidRDefault="00A0129B" w:rsidP="009A2C29">
            <w:pPr>
              <w:pStyle w:val="TableBody"/>
              <w:rPr>
                <w:szCs w:val="24"/>
              </w:rPr>
            </w:pPr>
            <w:r w:rsidRPr="001E192F">
              <w:rPr>
                <w:color w:val="000000"/>
                <w:szCs w:val="24"/>
              </w:rPr>
              <w:t>(3.149)</w:t>
            </w:r>
          </w:p>
        </w:tc>
        <w:tc>
          <w:tcPr>
            <w:tcW w:w="1356" w:type="dxa"/>
            <w:vAlign w:val="bottom"/>
          </w:tcPr>
          <w:p w14:paraId="5580D08E" w14:textId="2210B088" w:rsidR="00A0129B" w:rsidRPr="001E192F" w:rsidRDefault="00A0129B" w:rsidP="009A2C29">
            <w:pPr>
              <w:pStyle w:val="TableBody"/>
              <w:rPr>
                <w:szCs w:val="24"/>
              </w:rPr>
            </w:pPr>
            <w:r w:rsidRPr="001E192F">
              <w:rPr>
                <w:color w:val="000000"/>
                <w:szCs w:val="24"/>
              </w:rPr>
              <w:t>(2.871)</w:t>
            </w:r>
          </w:p>
        </w:tc>
        <w:tc>
          <w:tcPr>
            <w:tcW w:w="1245" w:type="dxa"/>
            <w:vAlign w:val="bottom"/>
          </w:tcPr>
          <w:p w14:paraId="49CDA8F5" w14:textId="43CFDA43" w:rsidR="00A0129B" w:rsidRPr="001E192F" w:rsidRDefault="00A0129B" w:rsidP="009A2C29">
            <w:pPr>
              <w:pStyle w:val="TableBody"/>
              <w:rPr>
                <w:szCs w:val="24"/>
              </w:rPr>
            </w:pPr>
            <w:r w:rsidRPr="001E192F">
              <w:rPr>
                <w:color w:val="000000"/>
                <w:szCs w:val="24"/>
              </w:rPr>
              <w:t>(1.003)</w:t>
            </w:r>
          </w:p>
        </w:tc>
        <w:tc>
          <w:tcPr>
            <w:tcW w:w="1440" w:type="dxa"/>
            <w:vAlign w:val="bottom"/>
          </w:tcPr>
          <w:p w14:paraId="71D7A2E1" w14:textId="2D8C54F9" w:rsidR="00A0129B" w:rsidRPr="001E192F" w:rsidRDefault="00A0129B" w:rsidP="009A2C29">
            <w:pPr>
              <w:pStyle w:val="TableBody"/>
              <w:rPr>
                <w:szCs w:val="24"/>
              </w:rPr>
            </w:pPr>
            <w:r w:rsidRPr="001E192F">
              <w:rPr>
                <w:color w:val="000000"/>
                <w:szCs w:val="24"/>
              </w:rPr>
              <w:t>(-2.165)</w:t>
            </w:r>
          </w:p>
        </w:tc>
        <w:tc>
          <w:tcPr>
            <w:tcW w:w="1800" w:type="dxa"/>
            <w:vAlign w:val="bottom"/>
          </w:tcPr>
          <w:p w14:paraId="789096CF" w14:textId="7815A766" w:rsidR="00A0129B" w:rsidRPr="001E192F" w:rsidRDefault="00A0129B" w:rsidP="009A2C29">
            <w:pPr>
              <w:pStyle w:val="TableBody"/>
              <w:rPr>
                <w:szCs w:val="24"/>
              </w:rPr>
            </w:pPr>
            <w:r w:rsidRPr="001E192F">
              <w:rPr>
                <w:color w:val="000000"/>
                <w:szCs w:val="24"/>
              </w:rPr>
              <w:t>(-7.768)</w:t>
            </w:r>
          </w:p>
        </w:tc>
        <w:tc>
          <w:tcPr>
            <w:tcW w:w="1260" w:type="dxa"/>
            <w:vAlign w:val="bottom"/>
          </w:tcPr>
          <w:p w14:paraId="5DF673D1" w14:textId="0425693F" w:rsidR="00A0129B" w:rsidRPr="001E192F" w:rsidRDefault="00A0129B" w:rsidP="009A2C29">
            <w:pPr>
              <w:pStyle w:val="TableBody"/>
              <w:rPr>
                <w:szCs w:val="24"/>
              </w:rPr>
            </w:pPr>
            <w:r w:rsidRPr="001E192F">
              <w:rPr>
                <w:color w:val="000000"/>
                <w:szCs w:val="24"/>
              </w:rPr>
              <w:t>(-7.646)</w:t>
            </w:r>
          </w:p>
        </w:tc>
      </w:tr>
      <w:tr w:rsidR="00C000B0" w:rsidRPr="001E192F" w14:paraId="0841B916" w14:textId="77777777" w:rsidTr="00F05C2D">
        <w:trPr>
          <w:trHeight w:val="281"/>
        </w:trPr>
        <w:tc>
          <w:tcPr>
            <w:tcW w:w="1890" w:type="dxa"/>
          </w:tcPr>
          <w:p w14:paraId="0F0A9A5C" w14:textId="77777777" w:rsidR="004633E6" w:rsidRPr="001E192F" w:rsidRDefault="004633E6" w:rsidP="009A2C29">
            <w:pPr>
              <w:pStyle w:val="TableBody"/>
              <w:rPr>
                <w:szCs w:val="24"/>
              </w:rPr>
            </w:pPr>
          </w:p>
        </w:tc>
        <w:tc>
          <w:tcPr>
            <w:tcW w:w="1359" w:type="dxa"/>
            <w:vAlign w:val="bottom"/>
          </w:tcPr>
          <w:p w14:paraId="24D08454" w14:textId="77777777" w:rsidR="004633E6" w:rsidRPr="001E192F" w:rsidRDefault="004633E6" w:rsidP="009A2C29">
            <w:pPr>
              <w:pStyle w:val="TableBody"/>
              <w:rPr>
                <w:color w:val="000000"/>
                <w:szCs w:val="24"/>
              </w:rPr>
            </w:pPr>
          </w:p>
        </w:tc>
        <w:tc>
          <w:tcPr>
            <w:tcW w:w="1356" w:type="dxa"/>
            <w:vAlign w:val="bottom"/>
          </w:tcPr>
          <w:p w14:paraId="6E715A3D" w14:textId="77777777" w:rsidR="004633E6" w:rsidRPr="001E192F" w:rsidRDefault="004633E6" w:rsidP="009A2C29">
            <w:pPr>
              <w:pStyle w:val="TableBody"/>
              <w:rPr>
                <w:color w:val="000000"/>
                <w:szCs w:val="24"/>
              </w:rPr>
            </w:pPr>
          </w:p>
        </w:tc>
        <w:tc>
          <w:tcPr>
            <w:tcW w:w="1245" w:type="dxa"/>
            <w:vAlign w:val="bottom"/>
          </w:tcPr>
          <w:p w14:paraId="0D9FBA31" w14:textId="77777777" w:rsidR="004633E6" w:rsidRPr="001E192F" w:rsidRDefault="004633E6" w:rsidP="009A2C29">
            <w:pPr>
              <w:pStyle w:val="TableBody"/>
              <w:rPr>
                <w:color w:val="000000"/>
                <w:szCs w:val="24"/>
              </w:rPr>
            </w:pPr>
          </w:p>
        </w:tc>
        <w:tc>
          <w:tcPr>
            <w:tcW w:w="1440" w:type="dxa"/>
            <w:vAlign w:val="bottom"/>
          </w:tcPr>
          <w:p w14:paraId="43B6B029" w14:textId="77777777" w:rsidR="004633E6" w:rsidRPr="001E192F" w:rsidRDefault="004633E6" w:rsidP="009A2C29">
            <w:pPr>
              <w:pStyle w:val="TableBody"/>
              <w:rPr>
                <w:color w:val="000000"/>
                <w:szCs w:val="24"/>
              </w:rPr>
            </w:pPr>
          </w:p>
        </w:tc>
        <w:tc>
          <w:tcPr>
            <w:tcW w:w="1800" w:type="dxa"/>
            <w:vAlign w:val="bottom"/>
          </w:tcPr>
          <w:p w14:paraId="5290DDE0" w14:textId="77777777" w:rsidR="004633E6" w:rsidRPr="001E192F" w:rsidRDefault="004633E6" w:rsidP="009A2C29">
            <w:pPr>
              <w:pStyle w:val="TableBody"/>
              <w:rPr>
                <w:color w:val="000000"/>
                <w:szCs w:val="24"/>
              </w:rPr>
            </w:pPr>
          </w:p>
        </w:tc>
        <w:tc>
          <w:tcPr>
            <w:tcW w:w="1260" w:type="dxa"/>
            <w:vAlign w:val="bottom"/>
          </w:tcPr>
          <w:p w14:paraId="1A9CB112" w14:textId="77777777" w:rsidR="004633E6" w:rsidRPr="001E192F" w:rsidRDefault="004633E6" w:rsidP="009A2C29">
            <w:pPr>
              <w:pStyle w:val="TableBody"/>
              <w:rPr>
                <w:color w:val="000000"/>
                <w:szCs w:val="24"/>
              </w:rPr>
            </w:pPr>
          </w:p>
        </w:tc>
      </w:tr>
      <w:tr w:rsidR="00C000B0" w:rsidRPr="001E192F" w14:paraId="7C306FA3" w14:textId="77777777" w:rsidTr="00F05C2D">
        <w:trPr>
          <w:trHeight w:val="281"/>
        </w:trPr>
        <w:tc>
          <w:tcPr>
            <w:tcW w:w="1890" w:type="dxa"/>
          </w:tcPr>
          <w:p w14:paraId="5C6647A6" w14:textId="77777777" w:rsidR="00A0129B" w:rsidRPr="001E192F" w:rsidRDefault="00A0129B" w:rsidP="009A2C29">
            <w:pPr>
              <w:pStyle w:val="TableBody"/>
              <w:rPr>
                <w:szCs w:val="24"/>
              </w:rPr>
            </w:pPr>
            <w:r w:rsidRPr="001E192F">
              <w:rPr>
                <w:szCs w:val="24"/>
              </w:rPr>
              <w:t xml:space="preserve">Reversal </w:t>
            </w:r>
          </w:p>
        </w:tc>
        <w:tc>
          <w:tcPr>
            <w:tcW w:w="1359" w:type="dxa"/>
            <w:vAlign w:val="bottom"/>
          </w:tcPr>
          <w:p w14:paraId="5AD79028" w14:textId="7D6581A7" w:rsidR="00A0129B" w:rsidRPr="001E192F" w:rsidRDefault="00A0129B" w:rsidP="009A2C29">
            <w:pPr>
              <w:pStyle w:val="TableBody"/>
              <w:rPr>
                <w:szCs w:val="24"/>
              </w:rPr>
            </w:pPr>
            <w:r w:rsidRPr="001E192F">
              <w:rPr>
                <w:color w:val="000000"/>
                <w:szCs w:val="24"/>
              </w:rPr>
              <w:t>0.115***</w:t>
            </w:r>
          </w:p>
        </w:tc>
        <w:tc>
          <w:tcPr>
            <w:tcW w:w="1356" w:type="dxa"/>
            <w:vAlign w:val="bottom"/>
          </w:tcPr>
          <w:p w14:paraId="1AC23B1B" w14:textId="3EF4893A" w:rsidR="00A0129B" w:rsidRPr="001E192F" w:rsidRDefault="00A0129B" w:rsidP="009A2C29">
            <w:pPr>
              <w:pStyle w:val="TableBody"/>
              <w:rPr>
                <w:szCs w:val="24"/>
              </w:rPr>
            </w:pPr>
            <w:r w:rsidRPr="001E192F">
              <w:rPr>
                <w:color w:val="000000"/>
                <w:szCs w:val="24"/>
              </w:rPr>
              <w:t>0.086</w:t>
            </w:r>
          </w:p>
        </w:tc>
        <w:tc>
          <w:tcPr>
            <w:tcW w:w="1245" w:type="dxa"/>
            <w:vAlign w:val="bottom"/>
          </w:tcPr>
          <w:p w14:paraId="286235DB" w14:textId="52A64F30" w:rsidR="00A0129B" w:rsidRPr="001E192F" w:rsidRDefault="00A0129B" w:rsidP="009A2C29">
            <w:pPr>
              <w:pStyle w:val="TableBody"/>
              <w:rPr>
                <w:szCs w:val="24"/>
              </w:rPr>
            </w:pPr>
            <w:r w:rsidRPr="001E192F">
              <w:rPr>
                <w:color w:val="000000"/>
                <w:szCs w:val="24"/>
              </w:rPr>
              <w:t>0.061</w:t>
            </w:r>
          </w:p>
        </w:tc>
        <w:tc>
          <w:tcPr>
            <w:tcW w:w="1440" w:type="dxa"/>
            <w:vAlign w:val="bottom"/>
          </w:tcPr>
          <w:p w14:paraId="5AB8CB21" w14:textId="0839235B" w:rsidR="00A0129B" w:rsidRPr="001E192F" w:rsidRDefault="00A0129B" w:rsidP="009A2C29">
            <w:pPr>
              <w:pStyle w:val="TableBody"/>
              <w:rPr>
                <w:szCs w:val="24"/>
              </w:rPr>
            </w:pPr>
            <w:r w:rsidRPr="001E192F">
              <w:rPr>
                <w:color w:val="000000"/>
                <w:szCs w:val="24"/>
              </w:rPr>
              <w:t>-0.287***</w:t>
            </w:r>
          </w:p>
        </w:tc>
        <w:tc>
          <w:tcPr>
            <w:tcW w:w="1800" w:type="dxa"/>
            <w:vAlign w:val="bottom"/>
          </w:tcPr>
          <w:p w14:paraId="7E559025" w14:textId="20464E9F" w:rsidR="00A0129B" w:rsidRPr="001E192F" w:rsidRDefault="00A0129B" w:rsidP="009A2C29">
            <w:pPr>
              <w:pStyle w:val="TableBody"/>
              <w:rPr>
                <w:szCs w:val="24"/>
              </w:rPr>
            </w:pPr>
            <w:r w:rsidRPr="001E192F">
              <w:rPr>
                <w:color w:val="000000"/>
                <w:szCs w:val="24"/>
              </w:rPr>
              <w:t>-1.300***</w:t>
            </w:r>
          </w:p>
        </w:tc>
        <w:tc>
          <w:tcPr>
            <w:tcW w:w="1260" w:type="dxa"/>
            <w:vAlign w:val="bottom"/>
          </w:tcPr>
          <w:p w14:paraId="3387CF82" w14:textId="55844F71" w:rsidR="00A0129B" w:rsidRPr="001E192F" w:rsidRDefault="00A0129B" w:rsidP="009A2C29">
            <w:pPr>
              <w:pStyle w:val="TableBody"/>
              <w:rPr>
                <w:szCs w:val="24"/>
              </w:rPr>
            </w:pPr>
            <w:r w:rsidRPr="001E192F">
              <w:rPr>
                <w:color w:val="000000"/>
                <w:szCs w:val="24"/>
              </w:rPr>
              <w:t>-1.416***</w:t>
            </w:r>
          </w:p>
        </w:tc>
      </w:tr>
      <w:tr w:rsidR="00C000B0" w:rsidRPr="001E192F" w14:paraId="55475D3A" w14:textId="77777777" w:rsidTr="00F05C2D">
        <w:trPr>
          <w:trHeight w:val="281"/>
        </w:trPr>
        <w:tc>
          <w:tcPr>
            <w:tcW w:w="1890" w:type="dxa"/>
          </w:tcPr>
          <w:p w14:paraId="6937B001" w14:textId="77777777" w:rsidR="00A0129B" w:rsidRPr="001E192F" w:rsidRDefault="00A0129B" w:rsidP="009A2C29">
            <w:pPr>
              <w:pStyle w:val="TableBody"/>
              <w:rPr>
                <w:szCs w:val="24"/>
              </w:rPr>
            </w:pPr>
            <w:r w:rsidRPr="001E192F">
              <w:rPr>
                <w:szCs w:val="24"/>
              </w:rPr>
              <w:t>Factor</w:t>
            </w:r>
          </w:p>
        </w:tc>
        <w:tc>
          <w:tcPr>
            <w:tcW w:w="1359" w:type="dxa"/>
            <w:vAlign w:val="bottom"/>
          </w:tcPr>
          <w:p w14:paraId="186816DE" w14:textId="26137DEC" w:rsidR="00A0129B" w:rsidRPr="001E192F" w:rsidRDefault="00A0129B" w:rsidP="009A2C29">
            <w:pPr>
              <w:pStyle w:val="TableBody"/>
              <w:rPr>
                <w:szCs w:val="24"/>
              </w:rPr>
            </w:pPr>
            <w:r w:rsidRPr="001E192F">
              <w:rPr>
                <w:color w:val="000000"/>
                <w:szCs w:val="24"/>
              </w:rPr>
              <w:t>(2.885)</w:t>
            </w:r>
          </w:p>
        </w:tc>
        <w:tc>
          <w:tcPr>
            <w:tcW w:w="1356" w:type="dxa"/>
            <w:vAlign w:val="bottom"/>
          </w:tcPr>
          <w:p w14:paraId="6C4209D4" w14:textId="2DBAAC58" w:rsidR="00A0129B" w:rsidRPr="001E192F" w:rsidRDefault="00A0129B" w:rsidP="009A2C29">
            <w:pPr>
              <w:pStyle w:val="TableBody"/>
              <w:rPr>
                <w:szCs w:val="24"/>
              </w:rPr>
            </w:pPr>
            <w:r w:rsidRPr="001E192F">
              <w:rPr>
                <w:color w:val="000000"/>
                <w:szCs w:val="24"/>
              </w:rPr>
              <w:t>(1.358)</w:t>
            </w:r>
          </w:p>
        </w:tc>
        <w:tc>
          <w:tcPr>
            <w:tcW w:w="1245" w:type="dxa"/>
            <w:vAlign w:val="bottom"/>
          </w:tcPr>
          <w:p w14:paraId="3C7FF949" w14:textId="5D7B8842" w:rsidR="00A0129B" w:rsidRPr="001E192F" w:rsidRDefault="00A0129B" w:rsidP="009A2C29">
            <w:pPr>
              <w:pStyle w:val="TableBody"/>
              <w:rPr>
                <w:szCs w:val="24"/>
              </w:rPr>
            </w:pPr>
            <w:r w:rsidRPr="001E192F">
              <w:rPr>
                <w:color w:val="000000"/>
                <w:szCs w:val="24"/>
              </w:rPr>
              <w:t>(0.755)</w:t>
            </w:r>
          </w:p>
        </w:tc>
        <w:tc>
          <w:tcPr>
            <w:tcW w:w="1440" w:type="dxa"/>
            <w:vAlign w:val="bottom"/>
          </w:tcPr>
          <w:p w14:paraId="148B3552" w14:textId="65AE7FE7" w:rsidR="00A0129B" w:rsidRPr="001E192F" w:rsidRDefault="00A0129B" w:rsidP="009A2C29">
            <w:pPr>
              <w:pStyle w:val="TableBody"/>
              <w:rPr>
                <w:szCs w:val="24"/>
              </w:rPr>
            </w:pPr>
            <w:r w:rsidRPr="001E192F">
              <w:rPr>
                <w:color w:val="000000"/>
                <w:szCs w:val="24"/>
              </w:rPr>
              <w:t>(-2.723)</w:t>
            </w:r>
          </w:p>
        </w:tc>
        <w:tc>
          <w:tcPr>
            <w:tcW w:w="1800" w:type="dxa"/>
            <w:vAlign w:val="bottom"/>
          </w:tcPr>
          <w:p w14:paraId="3B894F6D" w14:textId="7671611F" w:rsidR="00A0129B" w:rsidRPr="001E192F" w:rsidRDefault="00A0129B" w:rsidP="009A2C29">
            <w:pPr>
              <w:pStyle w:val="TableBody"/>
              <w:rPr>
                <w:szCs w:val="24"/>
              </w:rPr>
            </w:pPr>
            <w:r w:rsidRPr="001E192F">
              <w:rPr>
                <w:color w:val="000000"/>
                <w:szCs w:val="24"/>
              </w:rPr>
              <w:t>(-8.670)</w:t>
            </w:r>
          </w:p>
        </w:tc>
        <w:tc>
          <w:tcPr>
            <w:tcW w:w="1260" w:type="dxa"/>
            <w:vAlign w:val="bottom"/>
          </w:tcPr>
          <w:p w14:paraId="1DB8CAC3" w14:textId="2157449A" w:rsidR="00A0129B" w:rsidRPr="001E192F" w:rsidRDefault="00A0129B" w:rsidP="009A2C29">
            <w:pPr>
              <w:pStyle w:val="TableBody"/>
              <w:rPr>
                <w:szCs w:val="24"/>
              </w:rPr>
            </w:pPr>
            <w:r w:rsidRPr="001E192F">
              <w:rPr>
                <w:color w:val="000000"/>
                <w:szCs w:val="24"/>
              </w:rPr>
              <w:t>(-8.413)</w:t>
            </w:r>
          </w:p>
        </w:tc>
      </w:tr>
      <w:tr w:rsidR="00C000B0" w:rsidRPr="001E192F" w14:paraId="3356FF22" w14:textId="77777777" w:rsidTr="00F05C2D">
        <w:trPr>
          <w:trHeight w:val="281"/>
        </w:trPr>
        <w:tc>
          <w:tcPr>
            <w:tcW w:w="1890" w:type="dxa"/>
          </w:tcPr>
          <w:p w14:paraId="2DD0515D" w14:textId="77777777" w:rsidR="004633E6" w:rsidRPr="001E192F" w:rsidRDefault="004633E6" w:rsidP="009A2C29">
            <w:pPr>
              <w:pStyle w:val="TableBody"/>
              <w:rPr>
                <w:szCs w:val="24"/>
              </w:rPr>
            </w:pPr>
          </w:p>
        </w:tc>
        <w:tc>
          <w:tcPr>
            <w:tcW w:w="1359" w:type="dxa"/>
            <w:vAlign w:val="bottom"/>
          </w:tcPr>
          <w:p w14:paraId="2BCE27B7" w14:textId="77777777" w:rsidR="004633E6" w:rsidRPr="001E192F" w:rsidRDefault="004633E6" w:rsidP="009A2C29">
            <w:pPr>
              <w:pStyle w:val="TableBody"/>
              <w:rPr>
                <w:color w:val="000000"/>
                <w:szCs w:val="24"/>
              </w:rPr>
            </w:pPr>
          </w:p>
        </w:tc>
        <w:tc>
          <w:tcPr>
            <w:tcW w:w="1356" w:type="dxa"/>
            <w:vAlign w:val="bottom"/>
          </w:tcPr>
          <w:p w14:paraId="1ED66389" w14:textId="77777777" w:rsidR="004633E6" w:rsidRPr="001E192F" w:rsidRDefault="004633E6" w:rsidP="009A2C29">
            <w:pPr>
              <w:pStyle w:val="TableBody"/>
              <w:rPr>
                <w:color w:val="000000"/>
                <w:szCs w:val="24"/>
              </w:rPr>
            </w:pPr>
          </w:p>
        </w:tc>
        <w:tc>
          <w:tcPr>
            <w:tcW w:w="1245" w:type="dxa"/>
            <w:vAlign w:val="bottom"/>
          </w:tcPr>
          <w:p w14:paraId="21B54042" w14:textId="77777777" w:rsidR="004633E6" w:rsidRPr="001E192F" w:rsidRDefault="004633E6" w:rsidP="009A2C29">
            <w:pPr>
              <w:pStyle w:val="TableBody"/>
              <w:rPr>
                <w:color w:val="000000"/>
                <w:szCs w:val="24"/>
              </w:rPr>
            </w:pPr>
          </w:p>
        </w:tc>
        <w:tc>
          <w:tcPr>
            <w:tcW w:w="1440" w:type="dxa"/>
            <w:vAlign w:val="bottom"/>
          </w:tcPr>
          <w:p w14:paraId="416EF460" w14:textId="77777777" w:rsidR="004633E6" w:rsidRPr="001E192F" w:rsidRDefault="004633E6" w:rsidP="009A2C29">
            <w:pPr>
              <w:pStyle w:val="TableBody"/>
              <w:rPr>
                <w:color w:val="000000"/>
                <w:szCs w:val="24"/>
              </w:rPr>
            </w:pPr>
          </w:p>
        </w:tc>
        <w:tc>
          <w:tcPr>
            <w:tcW w:w="1800" w:type="dxa"/>
            <w:vAlign w:val="bottom"/>
          </w:tcPr>
          <w:p w14:paraId="58A1DCE4" w14:textId="77777777" w:rsidR="004633E6" w:rsidRPr="001E192F" w:rsidRDefault="004633E6" w:rsidP="009A2C29">
            <w:pPr>
              <w:pStyle w:val="TableBody"/>
              <w:rPr>
                <w:color w:val="000000"/>
                <w:szCs w:val="24"/>
              </w:rPr>
            </w:pPr>
          </w:p>
        </w:tc>
        <w:tc>
          <w:tcPr>
            <w:tcW w:w="1260" w:type="dxa"/>
            <w:vAlign w:val="bottom"/>
          </w:tcPr>
          <w:p w14:paraId="54A404BF" w14:textId="77777777" w:rsidR="004633E6" w:rsidRPr="001E192F" w:rsidRDefault="004633E6" w:rsidP="009A2C29">
            <w:pPr>
              <w:pStyle w:val="TableBody"/>
              <w:rPr>
                <w:color w:val="000000"/>
                <w:szCs w:val="24"/>
              </w:rPr>
            </w:pPr>
          </w:p>
        </w:tc>
      </w:tr>
      <w:tr w:rsidR="00C000B0" w:rsidRPr="001E192F" w14:paraId="4DC36F95" w14:textId="77777777" w:rsidTr="00F05C2D">
        <w:trPr>
          <w:trHeight w:val="281"/>
        </w:trPr>
        <w:tc>
          <w:tcPr>
            <w:tcW w:w="1890" w:type="dxa"/>
          </w:tcPr>
          <w:p w14:paraId="2B869CD6" w14:textId="77777777" w:rsidR="00A0129B" w:rsidRPr="001E192F" w:rsidRDefault="00A0129B" w:rsidP="009A2C29">
            <w:pPr>
              <w:pStyle w:val="TableBody"/>
              <w:rPr>
                <w:szCs w:val="24"/>
              </w:rPr>
            </w:pPr>
            <w:proofErr w:type="spellStart"/>
            <w:r w:rsidRPr="001E192F">
              <w:rPr>
                <w:szCs w:val="24"/>
              </w:rPr>
              <w:t>Fama</w:t>
            </w:r>
            <w:proofErr w:type="spellEnd"/>
            <w:r w:rsidRPr="001E192F">
              <w:rPr>
                <w:szCs w:val="24"/>
              </w:rPr>
              <w:t>-French</w:t>
            </w:r>
          </w:p>
        </w:tc>
        <w:tc>
          <w:tcPr>
            <w:tcW w:w="1359" w:type="dxa"/>
            <w:vAlign w:val="bottom"/>
          </w:tcPr>
          <w:p w14:paraId="663B7D48" w14:textId="10C53667" w:rsidR="00A0129B" w:rsidRPr="001E192F" w:rsidRDefault="00A0129B" w:rsidP="009A2C29">
            <w:pPr>
              <w:pStyle w:val="TableBody"/>
              <w:rPr>
                <w:szCs w:val="24"/>
              </w:rPr>
            </w:pPr>
            <w:r w:rsidRPr="001E192F">
              <w:rPr>
                <w:color w:val="000000"/>
                <w:szCs w:val="24"/>
              </w:rPr>
              <w:t>0.027</w:t>
            </w:r>
          </w:p>
        </w:tc>
        <w:tc>
          <w:tcPr>
            <w:tcW w:w="1356" w:type="dxa"/>
            <w:vAlign w:val="bottom"/>
          </w:tcPr>
          <w:p w14:paraId="13420E32" w14:textId="31E36370" w:rsidR="00A0129B" w:rsidRPr="001E192F" w:rsidRDefault="00A0129B" w:rsidP="009A2C29">
            <w:pPr>
              <w:pStyle w:val="TableBody"/>
              <w:rPr>
                <w:szCs w:val="24"/>
              </w:rPr>
            </w:pPr>
            <w:r w:rsidRPr="001E192F">
              <w:rPr>
                <w:color w:val="000000"/>
                <w:szCs w:val="24"/>
              </w:rPr>
              <w:t>0.078</w:t>
            </w:r>
          </w:p>
        </w:tc>
        <w:tc>
          <w:tcPr>
            <w:tcW w:w="1245" w:type="dxa"/>
            <w:vAlign w:val="bottom"/>
          </w:tcPr>
          <w:p w14:paraId="6827623D" w14:textId="42E9E937" w:rsidR="00A0129B" w:rsidRPr="001E192F" w:rsidRDefault="00A0129B" w:rsidP="009A2C29">
            <w:pPr>
              <w:pStyle w:val="TableBody"/>
              <w:rPr>
                <w:szCs w:val="24"/>
              </w:rPr>
            </w:pPr>
            <w:r w:rsidRPr="001E192F">
              <w:rPr>
                <w:color w:val="000000"/>
                <w:szCs w:val="24"/>
              </w:rPr>
              <w:t>0.154*</w:t>
            </w:r>
          </w:p>
        </w:tc>
        <w:tc>
          <w:tcPr>
            <w:tcW w:w="1440" w:type="dxa"/>
            <w:vAlign w:val="bottom"/>
          </w:tcPr>
          <w:p w14:paraId="49F0A257" w14:textId="262E877A" w:rsidR="00A0129B" w:rsidRPr="001E192F" w:rsidRDefault="00A0129B" w:rsidP="009A2C29">
            <w:pPr>
              <w:pStyle w:val="TableBody"/>
              <w:rPr>
                <w:szCs w:val="24"/>
              </w:rPr>
            </w:pPr>
            <w:r w:rsidRPr="001E192F">
              <w:rPr>
                <w:color w:val="000000"/>
                <w:szCs w:val="24"/>
              </w:rPr>
              <w:t>-0.103</w:t>
            </w:r>
          </w:p>
        </w:tc>
        <w:tc>
          <w:tcPr>
            <w:tcW w:w="1800" w:type="dxa"/>
            <w:vAlign w:val="bottom"/>
          </w:tcPr>
          <w:p w14:paraId="2F90B7D4" w14:textId="2162126A" w:rsidR="00A0129B" w:rsidRPr="001E192F" w:rsidRDefault="00A0129B" w:rsidP="009A2C29">
            <w:pPr>
              <w:pStyle w:val="TableBody"/>
              <w:rPr>
                <w:szCs w:val="24"/>
              </w:rPr>
            </w:pPr>
            <w:r w:rsidRPr="001E192F">
              <w:rPr>
                <w:color w:val="000000"/>
                <w:szCs w:val="24"/>
              </w:rPr>
              <w:t>-0.958***</w:t>
            </w:r>
          </w:p>
        </w:tc>
        <w:tc>
          <w:tcPr>
            <w:tcW w:w="1260" w:type="dxa"/>
            <w:vAlign w:val="bottom"/>
          </w:tcPr>
          <w:p w14:paraId="5DE8F9C9" w14:textId="400240F1" w:rsidR="00A0129B" w:rsidRPr="001E192F" w:rsidRDefault="00A0129B" w:rsidP="009A2C29">
            <w:pPr>
              <w:pStyle w:val="TableBody"/>
              <w:rPr>
                <w:szCs w:val="24"/>
              </w:rPr>
            </w:pPr>
            <w:r w:rsidRPr="001E192F">
              <w:rPr>
                <w:color w:val="000000"/>
                <w:szCs w:val="24"/>
              </w:rPr>
              <w:t>-0.985***</w:t>
            </w:r>
          </w:p>
        </w:tc>
      </w:tr>
      <w:tr w:rsidR="00C000B0" w:rsidRPr="001E192F" w14:paraId="40792135" w14:textId="77777777" w:rsidTr="00F05C2D">
        <w:trPr>
          <w:trHeight w:val="281"/>
        </w:trPr>
        <w:tc>
          <w:tcPr>
            <w:tcW w:w="1890" w:type="dxa"/>
          </w:tcPr>
          <w:p w14:paraId="5D9C7F9E" w14:textId="40501369" w:rsidR="00A0129B" w:rsidRPr="001E192F" w:rsidRDefault="00C000B0" w:rsidP="009A2C29">
            <w:pPr>
              <w:pStyle w:val="TableBody"/>
              <w:rPr>
                <w:szCs w:val="24"/>
              </w:rPr>
            </w:pPr>
            <w:r w:rsidRPr="001E192F">
              <w:rPr>
                <w:szCs w:val="24"/>
              </w:rPr>
              <w:t xml:space="preserve">Five </w:t>
            </w:r>
            <w:r w:rsidR="00A0129B" w:rsidRPr="001E192F">
              <w:rPr>
                <w:szCs w:val="24"/>
              </w:rPr>
              <w:t xml:space="preserve">Factor </w:t>
            </w:r>
          </w:p>
        </w:tc>
        <w:tc>
          <w:tcPr>
            <w:tcW w:w="1359" w:type="dxa"/>
            <w:vAlign w:val="bottom"/>
          </w:tcPr>
          <w:p w14:paraId="57D8BE18" w14:textId="69942005" w:rsidR="00A0129B" w:rsidRPr="001E192F" w:rsidRDefault="00A0129B" w:rsidP="009A2C29">
            <w:pPr>
              <w:pStyle w:val="TableBody"/>
              <w:rPr>
                <w:szCs w:val="24"/>
              </w:rPr>
            </w:pPr>
            <w:r w:rsidRPr="001E192F">
              <w:rPr>
                <w:color w:val="000000"/>
                <w:szCs w:val="24"/>
              </w:rPr>
              <w:t>(0.706)</w:t>
            </w:r>
          </w:p>
        </w:tc>
        <w:tc>
          <w:tcPr>
            <w:tcW w:w="1356" w:type="dxa"/>
            <w:vAlign w:val="bottom"/>
          </w:tcPr>
          <w:p w14:paraId="31017590" w14:textId="155AAC77" w:rsidR="00A0129B" w:rsidRPr="001E192F" w:rsidRDefault="00A0129B" w:rsidP="009A2C29">
            <w:pPr>
              <w:pStyle w:val="TableBody"/>
              <w:rPr>
                <w:szCs w:val="24"/>
              </w:rPr>
            </w:pPr>
            <w:r w:rsidRPr="001E192F">
              <w:rPr>
                <w:color w:val="000000"/>
                <w:szCs w:val="24"/>
              </w:rPr>
              <w:t>(1.228)</w:t>
            </w:r>
          </w:p>
        </w:tc>
        <w:tc>
          <w:tcPr>
            <w:tcW w:w="1245" w:type="dxa"/>
            <w:vAlign w:val="bottom"/>
          </w:tcPr>
          <w:p w14:paraId="2007DCCC" w14:textId="0679E6FB" w:rsidR="00A0129B" w:rsidRPr="001E192F" w:rsidRDefault="00A0129B" w:rsidP="009A2C29">
            <w:pPr>
              <w:pStyle w:val="TableBody"/>
              <w:rPr>
                <w:szCs w:val="24"/>
              </w:rPr>
            </w:pPr>
            <w:r w:rsidRPr="001E192F">
              <w:rPr>
                <w:color w:val="000000"/>
                <w:szCs w:val="24"/>
              </w:rPr>
              <w:t>(1.917)</w:t>
            </w:r>
          </w:p>
        </w:tc>
        <w:tc>
          <w:tcPr>
            <w:tcW w:w="1440" w:type="dxa"/>
            <w:vAlign w:val="bottom"/>
          </w:tcPr>
          <w:p w14:paraId="68AE3C86" w14:textId="2468F8B4" w:rsidR="00A0129B" w:rsidRPr="001E192F" w:rsidRDefault="00A0129B" w:rsidP="009A2C29">
            <w:pPr>
              <w:pStyle w:val="TableBody"/>
              <w:rPr>
                <w:szCs w:val="24"/>
              </w:rPr>
            </w:pPr>
            <w:r w:rsidRPr="001E192F">
              <w:rPr>
                <w:color w:val="000000"/>
                <w:szCs w:val="24"/>
              </w:rPr>
              <w:t>(-1.022)</w:t>
            </w:r>
          </w:p>
        </w:tc>
        <w:tc>
          <w:tcPr>
            <w:tcW w:w="1800" w:type="dxa"/>
            <w:vAlign w:val="bottom"/>
          </w:tcPr>
          <w:p w14:paraId="7F54C647" w14:textId="7DDB19B1" w:rsidR="00A0129B" w:rsidRPr="001E192F" w:rsidRDefault="00A0129B" w:rsidP="009A2C29">
            <w:pPr>
              <w:pStyle w:val="TableBody"/>
              <w:rPr>
                <w:szCs w:val="24"/>
              </w:rPr>
            </w:pPr>
            <w:r w:rsidRPr="001E192F">
              <w:rPr>
                <w:color w:val="000000"/>
                <w:szCs w:val="24"/>
              </w:rPr>
              <w:t>(-6.825)</w:t>
            </w:r>
          </w:p>
        </w:tc>
        <w:tc>
          <w:tcPr>
            <w:tcW w:w="1260" w:type="dxa"/>
            <w:vAlign w:val="bottom"/>
          </w:tcPr>
          <w:p w14:paraId="72479DAE" w14:textId="0D8B5041" w:rsidR="00A0129B" w:rsidRPr="001E192F" w:rsidRDefault="00A0129B" w:rsidP="009A2C29">
            <w:pPr>
              <w:pStyle w:val="TableBody"/>
              <w:rPr>
                <w:szCs w:val="24"/>
              </w:rPr>
            </w:pPr>
            <w:r w:rsidRPr="001E192F">
              <w:rPr>
                <w:color w:val="000000"/>
                <w:szCs w:val="24"/>
              </w:rPr>
              <w:t>(-6.382)</w:t>
            </w:r>
          </w:p>
        </w:tc>
      </w:tr>
      <w:tr w:rsidR="00C000B0" w:rsidRPr="001E192F" w14:paraId="3634795B" w14:textId="77777777" w:rsidTr="00F05C2D">
        <w:trPr>
          <w:trHeight w:val="281"/>
        </w:trPr>
        <w:tc>
          <w:tcPr>
            <w:tcW w:w="1890" w:type="dxa"/>
          </w:tcPr>
          <w:p w14:paraId="01FBD7FB" w14:textId="77777777" w:rsidR="004633E6" w:rsidRPr="001E192F" w:rsidRDefault="004633E6" w:rsidP="009A2C29">
            <w:pPr>
              <w:pStyle w:val="TableBody"/>
              <w:rPr>
                <w:szCs w:val="24"/>
              </w:rPr>
            </w:pPr>
          </w:p>
        </w:tc>
        <w:tc>
          <w:tcPr>
            <w:tcW w:w="1359" w:type="dxa"/>
            <w:vAlign w:val="bottom"/>
          </w:tcPr>
          <w:p w14:paraId="359976F9" w14:textId="77777777" w:rsidR="004633E6" w:rsidRPr="001E192F" w:rsidRDefault="004633E6" w:rsidP="009A2C29">
            <w:pPr>
              <w:pStyle w:val="TableBody"/>
              <w:rPr>
                <w:color w:val="000000"/>
                <w:szCs w:val="24"/>
              </w:rPr>
            </w:pPr>
          </w:p>
        </w:tc>
        <w:tc>
          <w:tcPr>
            <w:tcW w:w="1356" w:type="dxa"/>
            <w:vAlign w:val="bottom"/>
          </w:tcPr>
          <w:p w14:paraId="5B76108A" w14:textId="77777777" w:rsidR="004633E6" w:rsidRPr="001E192F" w:rsidRDefault="004633E6" w:rsidP="009A2C29">
            <w:pPr>
              <w:pStyle w:val="TableBody"/>
              <w:rPr>
                <w:color w:val="000000"/>
                <w:szCs w:val="24"/>
              </w:rPr>
            </w:pPr>
          </w:p>
        </w:tc>
        <w:tc>
          <w:tcPr>
            <w:tcW w:w="1245" w:type="dxa"/>
            <w:vAlign w:val="bottom"/>
          </w:tcPr>
          <w:p w14:paraId="5B65660F" w14:textId="77777777" w:rsidR="004633E6" w:rsidRPr="001E192F" w:rsidRDefault="004633E6" w:rsidP="009A2C29">
            <w:pPr>
              <w:pStyle w:val="TableBody"/>
              <w:rPr>
                <w:color w:val="000000"/>
                <w:szCs w:val="24"/>
              </w:rPr>
            </w:pPr>
          </w:p>
        </w:tc>
        <w:tc>
          <w:tcPr>
            <w:tcW w:w="1440" w:type="dxa"/>
            <w:vAlign w:val="bottom"/>
          </w:tcPr>
          <w:p w14:paraId="5C0924D0" w14:textId="77777777" w:rsidR="004633E6" w:rsidRPr="001E192F" w:rsidRDefault="004633E6" w:rsidP="009A2C29">
            <w:pPr>
              <w:pStyle w:val="TableBody"/>
              <w:rPr>
                <w:color w:val="000000"/>
                <w:szCs w:val="24"/>
              </w:rPr>
            </w:pPr>
          </w:p>
        </w:tc>
        <w:tc>
          <w:tcPr>
            <w:tcW w:w="1800" w:type="dxa"/>
            <w:vAlign w:val="bottom"/>
          </w:tcPr>
          <w:p w14:paraId="65D637D2" w14:textId="77777777" w:rsidR="004633E6" w:rsidRPr="001E192F" w:rsidRDefault="004633E6" w:rsidP="009A2C29">
            <w:pPr>
              <w:pStyle w:val="TableBody"/>
              <w:rPr>
                <w:color w:val="000000"/>
                <w:szCs w:val="24"/>
              </w:rPr>
            </w:pPr>
          </w:p>
        </w:tc>
        <w:tc>
          <w:tcPr>
            <w:tcW w:w="1260" w:type="dxa"/>
            <w:vAlign w:val="bottom"/>
          </w:tcPr>
          <w:p w14:paraId="66286195" w14:textId="77777777" w:rsidR="004633E6" w:rsidRPr="001E192F" w:rsidRDefault="004633E6" w:rsidP="009A2C29">
            <w:pPr>
              <w:pStyle w:val="TableBody"/>
              <w:rPr>
                <w:color w:val="000000"/>
                <w:szCs w:val="24"/>
              </w:rPr>
            </w:pPr>
          </w:p>
        </w:tc>
      </w:tr>
      <w:tr w:rsidR="00C000B0" w:rsidRPr="001E192F" w14:paraId="58CF0772" w14:textId="77777777" w:rsidTr="00F05C2D">
        <w:trPr>
          <w:trHeight w:val="281"/>
        </w:trPr>
        <w:tc>
          <w:tcPr>
            <w:tcW w:w="1890" w:type="dxa"/>
          </w:tcPr>
          <w:p w14:paraId="122CF720" w14:textId="77777777" w:rsidR="00A0129B" w:rsidRPr="001E192F" w:rsidRDefault="00A0129B" w:rsidP="009A2C29">
            <w:pPr>
              <w:pStyle w:val="TableBody"/>
              <w:rPr>
                <w:szCs w:val="24"/>
              </w:rPr>
            </w:pPr>
            <w:r w:rsidRPr="001E192F">
              <w:rPr>
                <w:szCs w:val="24"/>
              </w:rPr>
              <w:t>All</w:t>
            </w:r>
          </w:p>
        </w:tc>
        <w:tc>
          <w:tcPr>
            <w:tcW w:w="1359" w:type="dxa"/>
            <w:vAlign w:val="bottom"/>
          </w:tcPr>
          <w:p w14:paraId="621152AD" w14:textId="636FA3F5" w:rsidR="00A0129B" w:rsidRPr="001E192F" w:rsidRDefault="00A0129B" w:rsidP="009A2C29">
            <w:pPr>
              <w:pStyle w:val="TableBody"/>
              <w:rPr>
                <w:szCs w:val="24"/>
              </w:rPr>
            </w:pPr>
            <w:r w:rsidRPr="001E192F">
              <w:rPr>
                <w:color w:val="000000"/>
                <w:szCs w:val="24"/>
              </w:rPr>
              <w:t>0.075</w:t>
            </w:r>
          </w:p>
        </w:tc>
        <w:tc>
          <w:tcPr>
            <w:tcW w:w="1356" w:type="dxa"/>
            <w:vAlign w:val="bottom"/>
          </w:tcPr>
          <w:p w14:paraId="4D9D9EB3" w14:textId="77CADEBE" w:rsidR="00A0129B" w:rsidRPr="001E192F" w:rsidRDefault="00A0129B" w:rsidP="009A2C29">
            <w:pPr>
              <w:pStyle w:val="TableBody"/>
              <w:rPr>
                <w:szCs w:val="24"/>
              </w:rPr>
            </w:pPr>
            <w:r w:rsidRPr="001E192F">
              <w:rPr>
                <w:color w:val="000000"/>
                <w:szCs w:val="24"/>
              </w:rPr>
              <w:t>0.047</w:t>
            </w:r>
          </w:p>
        </w:tc>
        <w:tc>
          <w:tcPr>
            <w:tcW w:w="1245" w:type="dxa"/>
            <w:vAlign w:val="bottom"/>
          </w:tcPr>
          <w:p w14:paraId="32DE096D" w14:textId="16453184" w:rsidR="00A0129B" w:rsidRPr="001E192F" w:rsidRDefault="00A0129B" w:rsidP="009A2C29">
            <w:pPr>
              <w:pStyle w:val="TableBody"/>
              <w:rPr>
                <w:szCs w:val="24"/>
              </w:rPr>
            </w:pPr>
            <w:r w:rsidRPr="001E192F">
              <w:rPr>
                <w:color w:val="000000"/>
                <w:szCs w:val="24"/>
              </w:rPr>
              <w:t>0.061</w:t>
            </w:r>
          </w:p>
        </w:tc>
        <w:tc>
          <w:tcPr>
            <w:tcW w:w="1440" w:type="dxa"/>
            <w:vAlign w:val="bottom"/>
          </w:tcPr>
          <w:p w14:paraId="0B1C709E" w14:textId="6750A547" w:rsidR="00A0129B" w:rsidRPr="001E192F" w:rsidRDefault="00A0129B" w:rsidP="009A2C29">
            <w:pPr>
              <w:pStyle w:val="TableBody"/>
              <w:rPr>
                <w:szCs w:val="24"/>
              </w:rPr>
            </w:pPr>
            <w:r w:rsidRPr="001E192F">
              <w:rPr>
                <w:color w:val="000000"/>
                <w:szCs w:val="24"/>
              </w:rPr>
              <w:t>0.035</w:t>
            </w:r>
          </w:p>
        </w:tc>
        <w:tc>
          <w:tcPr>
            <w:tcW w:w="1800" w:type="dxa"/>
            <w:vAlign w:val="bottom"/>
          </w:tcPr>
          <w:p w14:paraId="5D1924F4" w14:textId="380C8D16" w:rsidR="00A0129B" w:rsidRPr="001E192F" w:rsidRDefault="00A0129B" w:rsidP="009A2C29">
            <w:pPr>
              <w:pStyle w:val="TableBody"/>
              <w:rPr>
                <w:szCs w:val="24"/>
              </w:rPr>
            </w:pPr>
            <w:r w:rsidRPr="001E192F">
              <w:rPr>
                <w:color w:val="000000"/>
                <w:szCs w:val="24"/>
              </w:rPr>
              <w:t>-0.184*</w:t>
            </w:r>
          </w:p>
        </w:tc>
        <w:tc>
          <w:tcPr>
            <w:tcW w:w="1260" w:type="dxa"/>
            <w:vAlign w:val="bottom"/>
          </w:tcPr>
          <w:p w14:paraId="28AB9064" w14:textId="4C5F7B5D" w:rsidR="00A0129B" w:rsidRPr="001E192F" w:rsidRDefault="00A0129B" w:rsidP="009A2C29">
            <w:pPr>
              <w:pStyle w:val="TableBody"/>
              <w:rPr>
                <w:szCs w:val="24"/>
              </w:rPr>
            </w:pPr>
            <w:r w:rsidRPr="001E192F">
              <w:rPr>
                <w:color w:val="000000"/>
                <w:szCs w:val="24"/>
              </w:rPr>
              <w:t>-0.259**</w:t>
            </w:r>
          </w:p>
        </w:tc>
      </w:tr>
      <w:tr w:rsidR="00C000B0" w:rsidRPr="001E192F" w14:paraId="05B1045D" w14:textId="77777777" w:rsidTr="00F05C2D">
        <w:trPr>
          <w:trHeight w:val="281"/>
        </w:trPr>
        <w:tc>
          <w:tcPr>
            <w:tcW w:w="1890" w:type="dxa"/>
            <w:tcBorders>
              <w:bottom w:val="single" w:sz="4" w:space="0" w:color="auto"/>
            </w:tcBorders>
          </w:tcPr>
          <w:p w14:paraId="195D8652" w14:textId="77777777" w:rsidR="00A0129B" w:rsidRPr="001E192F" w:rsidRDefault="00A0129B" w:rsidP="009A2C29">
            <w:pPr>
              <w:pStyle w:val="TableBody"/>
              <w:rPr>
                <w:szCs w:val="24"/>
              </w:rPr>
            </w:pPr>
          </w:p>
        </w:tc>
        <w:tc>
          <w:tcPr>
            <w:tcW w:w="1359" w:type="dxa"/>
            <w:tcBorders>
              <w:bottom w:val="single" w:sz="4" w:space="0" w:color="auto"/>
            </w:tcBorders>
            <w:vAlign w:val="bottom"/>
          </w:tcPr>
          <w:p w14:paraId="33F6AC77" w14:textId="288A97A4" w:rsidR="00A0129B" w:rsidRPr="001E192F" w:rsidRDefault="00A0129B" w:rsidP="009A2C29">
            <w:pPr>
              <w:pStyle w:val="TableBody"/>
              <w:rPr>
                <w:szCs w:val="24"/>
              </w:rPr>
            </w:pPr>
            <w:r w:rsidRPr="001E192F">
              <w:rPr>
                <w:color w:val="000000"/>
                <w:szCs w:val="24"/>
              </w:rPr>
              <w:t>(1.367)</w:t>
            </w:r>
          </w:p>
        </w:tc>
        <w:tc>
          <w:tcPr>
            <w:tcW w:w="1356" w:type="dxa"/>
            <w:tcBorders>
              <w:bottom w:val="single" w:sz="4" w:space="0" w:color="auto"/>
            </w:tcBorders>
            <w:vAlign w:val="bottom"/>
          </w:tcPr>
          <w:p w14:paraId="19431F4F" w14:textId="548E09C9" w:rsidR="00A0129B" w:rsidRPr="001E192F" w:rsidRDefault="00A0129B" w:rsidP="009A2C29">
            <w:pPr>
              <w:pStyle w:val="TableBody"/>
              <w:rPr>
                <w:szCs w:val="24"/>
              </w:rPr>
            </w:pPr>
            <w:r w:rsidRPr="001E192F">
              <w:rPr>
                <w:color w:val="000000"/>
                <w:szCs w:val="24"/>
              </w:rPr>
              <w:t>(0.709)</w:t>
            </w:r>
          </w:p>
        </w:tc>
        <w:tc>
          <w:tcPr>
            <w:tcW w:w="1245" w:type="dxa"/>
            <w:tcBorders>
              <w:bottom w:val="single" w:sz="4" w:space="0" w:color="auto"/>
            </w:tcBorders>
            <w:vAlign w:val="bottom"/>
          </w:tcPr>
          <w:p w14:paraId="3F14D784" w14:textId="51C9B256" w:rsidR="00A0129B" w:rsidRPr="001E192F" w:rsidRDefault="00A0129B" w:rsidP="009A2C29">
            <w:pPr>
              <w:pStyle w:val="TableBody"/>
              <w:rPr>
                <w:szCs w:val="24"/>
              </w:rPr>
            </w:pPr>
            <w:r w:rsidRPr="001E192F">
              <w:rPr>
                <w:color w:val="000000"/>
                <w:szCs w:val="24"/>
              </w:rPr>
              <w:t>(0.740)</w:t>
            </w:r>
          </w:p>
        </w:tc>
        <w:tc>
          <w:tcPr>
            <w:tcW w:w="1440" w:type="dxa"/>
            <w:tcBorders>
              <w:bottom w:val="single" w:sz="4" w:space="0" w:color="auto"/>
            </w:tcBorders>
            <w:vAlign w:val="bottom"/>
          </w:tcPr>
          <w:p w14:paraId="1D9CB72D" w14:textId="31F0F14E" w:rsidR="00A0129B" w:rsidRPr="001E192F" w:rsidRDefault="00A0129B" w:rsidP="009A2C29">
            <w:pPr>
              <w:pStyle w:val="TableBody"/>
              <w:rPr>
                <w:szCs w:val="24"/>
              </w:rPr>
            </w:pPr>
            <w:r w:rsidRPr="001E192F">
              <w:rPr>
                <w:color w:val="000000"/>
                <w:szCs w:val="24"/>
              </w:rPr>
              <w:t>(0.375)</w:t>
            </w:r>
          </w:p>
        </w:tc>
        <w:tc>
          <w:tcPr>
            <w:tcW w:w="1800" w:type="dxa"/>
            <w:tcBorders>
              <w:bottom w:val="single" w:sz="4" w:space="0" w:color="auto"/>
            </w:tcBorders>
            <w:vAlign w:val="bottom"/>
          </w:tcPr>
          <w:p w14:paraId="202BF31F" w14:textId="7B694F7C" w:rsidR="00A0129B" w:rsidRPr="001E192F" w:rsidRDefault="00A0129B" w:rsidP="009A2C29">
            <w:pPr>
              <w:pStyle w:val="TableBody"/>
              <w:rPr>
                <w:szCs w:val="24"/>
              </w:rPr>
            </w:pPr>
            <w:r w:rsidRPr="001E192F">
              <w:rPr>
                <w:color w:val="000000"/>
                <w:szCs w:val="24"/>
              </w:rPr>
              <w:t>(-1.793)</w:t>
            </w:r>
          </w:p>
        </w:tc>
        <w:tc>
          <w:tcPr>
            <w:tcW w:w="1260" w:type="dxa"/>
            <w:tcBorders>
              <w:bottom w:val="single" w:sz="4" w:space="0" w:color="auto"/>
            </w:tcBorders>
            <w:vAlign w:val="bottom"/>
          </w:tcPr>
          <w:p w14:paraId="511AA176" w14:textId="3D4D7E60" w:rsidR="00A0129B" w:rsidRPr="001E192F" w:rsidRDefault="00A0129B" w:rsidP="009A2C29">
            <w:pPr>
              <w:pStyle w:val="TableBody"/>
              <w:rPr>
                <w:szCs w:val="24"/>
              </w:rPr>
            </w:pPr>
            <w:r w:rsidRPr="001E192F">
              <w:rPr>
                <w:color w:val="000000"/>
                <w:szCs w:val="24"/>
              </w:rPr>
              <w:t>(-2.026)</w:t>
            </w:r>
          </w:p>
        </w:tc>
      </w:tr>
      <w:tr w:rsidR="004633E6" w:rsidRPr="001E192F" w14:paraId="092036F5" w14:textId="77777777" w:rsidTr="00F05C2D">
        <w:tc>
          <w:tcPr>
            <w:tcW w:w="10350" w:type="dxa"/>
            <w:gridSpan w:val="7"/>
            <w:tcBorders>
              <w:top w:val="single" w:sz="4" w:space="0" w:color="auto"/>
            </w:tcBorders>
          </w:tcPr>
          <w:p w14:paraId="730104C0" w14:textId="72FB6AAF" w:rsidR="004633E6" w:rsidRPr="001E192F" w:rsidRDefault="003419EC" w:rsidP="009A2C29">
            <w:pPr>
              <w:spacing w:after="0" w:line="240" w:lineRule="auto"/>
              <w:rPr>
                <w:szCs w:val="24"/>
              </w:rPr>
            </w:pPr>
            <w:r w:rsidRPr="001E192F">
              <w:rPr>
                <w:szCs w:val="24"/>
              </w:rPr>
              <w:t xml:space="preserve">In this table, we </w:t>
            </w:r>
            <w:r w:rsidR="004633E6" w:rsidRPr="001E192F">
              <w:rPr>
                <w:szCs w:val="24"/>
              </w:rPr>
              <w:t>report the portfolio alphas (×100) from our benchmark methodology and several alternative choices for value-weighted idiosyncratic volatility-sorted portfolios</w:t>
            </w:r>
            <w:r w:rsidR="00993792" w:rsidRPr="001E192F">
              <w:rPr>
                <w:szCs w:val="24"/>
              </w:rPr>
              <w:t xml:space="preserve">.  </w:t>
            </w:r>
            <w:r w:rsidR="004633E6" w:rsidRPr="001E192F">
              <w:rPr>
                <w:szCs w:val="24"/>
              </w:rPr>
              <w:t xml:space="preserve">See Table 1 for discussion of our estimate of idiosyncratic volatility, our method for estimating alpha, and the methodological choices </w:t>
            </w:r>
            <w:r w:rsidR="00A4179C" w:rsidRPr="001E192F">
              <w:rPr>
                <w:szCs w:val="24"/>
              </w:rPr>
              <w:t xml:space="preserve">used </w:t>
            </w:r>
            <w:r w:rsidR="004633E6" w:rsidRPr="001E192F">
              <w:rPr>
                <w:szCs w:val="24"/>
              </w:rPr>
              <w:t>to form our benchmark estimates</w:t>
            </w:r>
            <w:r w:rsidR="00993792" w:rsidRPr="001E192F">
              <w:rPr>
                <w:szCs w:val="24"/>
              </w:rPr>
              <w:t xml:space="preserve">.  </w:t>
            </w:r>
            <w:r w:rsidR="004633E6" w:rsidRPr="001E192F">
              <w:rPr>
                <w:szCs w:val="24"/>
              </w:rPr>
              <w:t>In the first column, we describe the methodological alternative choice for the corresponding set of alphas</w:t>
            </w:r>
            <w:r w:rsidR="00993792" w:rsidRPr="001E192F">
              <w:rPr>
                <w:szCs w:val="24"/>
              </w:rPr>
              <w:t xml:space="preserve">.  </w:t>
            </w:r>
            <w:r w:rsidR="004633E6" w:rsidRPr="001E192F">
              <w:rPr>
                <w:szCs w:val="24"/>
              </w:rPr>
              <w:t>In the ‘Benchmark’ row, we reproduce the alphas from Table 1</w:t>
            </w:r>
            <w:r w:rsidR="00993792" w:rsidRPr="001E192F">
              <w:rPr>
                <w:szCs w:val="24"/>
              </w:rPr>
              <w:t xml:space="preserve">.  </w:t>
            </w:r>
            <w:r w:rsidR="004633E6" w:rsidRPr="001E192F">
              <w:rPr>
                <w:szCs w:val="24"/>
              </w:rPr>
              <w:t xml:space="preserve">In the ‘January Indicator’ row, we report the alphas from </w:t>
            </w:r>
            <w:proofErr w:type="spellStart"/>
            <w:r w:rsidR="004633E6" w:rsidRPr="001E192F">
              <w:rPr>
                <w:szCs w:val="24"/>
              </w:rPr>
              <w:t>Fama</w:t>
            </w:r>
            <w:proofErr w:type="spellEnd"/>
            <w:r w:rsidR="004633E6" w:rsidRPr="001E192F">
              <w:rPr>
                <w:szCs w:val="24"/>
              </w:rPr>
              <w:t xml:space="preserve"> and French (1993) three-factor regressions augmented with a January indicator variable that takes the value of one if the observed return is from the month of January and zero otherwise</w:t>
            </w:r>
            <w:r w:rsidR="00993792" w:rsidRPr="001E192F">
              <w:rPr>
                <w:szCs w:val="24"/>
              </w:rPr>
              <w:t xml:space="preserve">.  </w:t>
            </w:r>
            <w:r w:rsidR="004633E6" w:rsidRPr="001E192F">
              <w:rPr>
                <w:szCs w:val="24"/>
              </w:rPr>
              <w:t>In the ‘Excl</w:t>
            </w:r>
            <w:r w:rsidR="00021A8B" w:rsidRPr="001E192F">
              <w:rPr>
                <w:szCs w:val="24"/>
              </w:rPr>
              <w:t xml:space="preserve">ude </w:t>
            </w:r>
            <w:r w:rsidR="004633E6" w:rsidRPr="001E192F">
              <w:rPr>
                <w:szCs w:val="24"/>
              </w:rPr>
              <w:t xml:space="preserve">&lt; $5’ </w:t>
            </w:r>
            <w:r w:rsidR="00021A8B" w:rsidRPr="001E192F">
              <w:rPr>
                <w:szCs w:val="24"/>
              </w:rPr>
              <w:t xml:space="preserve">and ‘Exclude &lt; $10’ </w:t>
            </w:r>
            <w:r w:rsidR="004633E6" w:rsidRPr="001E192F">
              <w:rPr>
                <w:szCs w:val="24"/>
              </w:rPr>
              <w:t>row</w:t>
            </w:r>
            <w:r w:rsidR="00021A8B" w:rsidRPr="001E192F">
              <w:rPr>
                <w:szCs w:val="24"/>
              </w:rPr>
              <w:t>s</w:t>
            </w:r>
            <w:r w:rsidR="004633E6" w:rsidRPr="001E192F">
              <w:rPr>
                <w:szCs w:val="24"/>
              </w:rPr>
              <w:t xml:space="preserve">, when forming our portfolios, we exclude all stocks with prices less than $5 </w:t>
            </w:r>
            <w:r w:rsidR="00021A8B" w:rsidRPr="001E192F">
              <w:rPr>
                <w:szCs w:val="24"/>
              </w:rPr>
              <w:t xml:space="preserve">and $10, respectively, </w:t>
            </w:r>
            <w:r w:rsidR="004633E6" w:rsidRPr="001E192F">
              <w:rPr>
                <w:szCs w:val="24"/>
              </w:rPr>
              <w:t>at the end of the previous month</w:t>
            </w:r>
            <w:r w:rsidR="00993792" w:rsidRPr="001E192F">
              <w:rPr>
                <w:szCs w:val="24"/>
              </w:rPr>
              <w:t xml:space="preserve">.  </w:t>
            </w:r>
            <w:r w:rsidR="004633E6" w:rsidRPr="001E192F">
              <w:rPr>
                <w:szCs w:val="24"/>
              </w:rPr>
              <w:t>In the ‘NYSE Break</w:t>
            </w:r>
            <w:r w:rsidR="00021A8B" w:rsidRPr="001E192F">
              <w:rPr>
                <w:szCs w:val="24"/>
              </w:rPr>
              <w:t>point</w:t>
            </w:r>
            <w:r w:rsidR="004633E6" w:rsidRPr="001E192F">
              <w:rPr>
                <w:szCs w:val="24"/>
              </w:rPr>
              <w:t>s’ row, instead of using all stocks in setting the portfolio breakpoints, we set the breakpoints between portfolios only using stocks that trade on the NYSE</w:t>
            </w:r>
            <w:r w:rsidR="00993792" w:rsidRPr="001E192F">
              <w:rPr>
                <w:szCs w:val="24"/>
              </w:rPr>
              <w:t xml:space="preserve">.  </w:t>
            </w:r>
            <w:r w:rsidR="004633E6" w:rsidRPr="001E192F">
              <w:rPr>
                <w:szCs w:val="24"/>
              </w:rPr>
              <w:t xml:space="preserve">In the ‘Momentum Factor’ row, we augment the </w:t>
            </w:r>
            <w:proofErr w:type="spellStart"/>
            <w:r w:rsidR="004633E6" w:rsidRPr="001E192F">
              <w:rPr>
                <w:szCs w:val="24"/>
              </w:rPr>
              <w:t>Fama</w:t>
            </w:r>
            <w:proofErr w:type="spellEnd"/>
            <w:r w:rsidR="004633E6" w:rsidRPr="001E192F">
              <w:rPr>
                <w:szCs w:val="24"/>
              </w:rPr>
              <w:t xml:space="preserve"> and French (1993) three-factor model with the </w:t>
            </w:r>
            <w:proofErr w:type="spellStart"/>
            <w:r w:rsidR="004633E6" w:rsidRPr="001E192F">
              <w:rPr>
                <w:szCs w:val="24"/>
              </w:rPr>
              <w:t>Carhart</w:t>
            </w:r>
            <w:proofErr w:type="spellEnd"/>
            <w:r w:rsidR="004633E6" w:rsidRPr="001E192F">
              <w:rPr>
                <w:szCs w:val="24"/>
              </w:rPr>
              <w:t xml:space="preserve"> (1997) momentum factor to </w:t>
            </w:r>
            <w:r w:rsidR="00021A8B" w:rsidRPr="001E192F">
              <w:rPr>
                <w:szCs w:val="24"/>
              </w:rPr>
              <w:t xml:space="preserve">estimate </w:t>
            </w:r>
            <w:r w:rsidR="004633E6" w:rsidRPr="001E192F">
              <w:rPr>
                <w:szCs w:val="24"/>
              </w:rPr>
              <w:t>the portfolio alphas</w:t>
            </w:r>
            <w:r w:rsidR="00993792" w:rsidRPr="001E192F">
              <w:rPr>
                <w:szCs w:val="24"/>
              </w:rPr>
              <w:t xml:space="preserve">.  </w:t>
            </w:r>
            <w:r w:rsidR="004633E6" w:rsidRPr="001E192F">
              <w:rPr>
                <w:szCs w:val="24"/>
              </w:rPr>
              <w:t xml:space="preserve">In the ‘Reversal Factor’ row, we augment the </w:t>
            </w:r>
            <w:proofErr w:type="spellStart"/>
            <w:r w:rsidR="004633E6" w:rsidRPr="001E192F">
              <w:rPr>
                <w:szCs w:val="24"/>
              </w:rPr>
              <w:t>Fama</w:t>
            </w:r>
            <w:proofErr w:type="spellEnd"/>
            <w:r w:rsidR="004633E6" w:rsidRPr="001E192F">
              <w:rPr>
                <w:szCs w:val="24"/>
              </w:rPr>
              <w:t xml:space="preserve"> and French (1993) three-factor model with the short-term reversal factor to estimate portfolio alphas</w:t>
            </w:r>
            <w:r w:rsidR="00993792" w:rsidRPr="001E192F">
              <w:rPr>
                <w:szCs w:val="24"/>
              </w:rPr>
              <w:t xml:space="preserve">. </w:t>
            </w:r>
            <w:r w:rsidR="00993792" w:rsidRPr="001E192F">
              <w:rPr>
                <w:color w:val="FF0000"/>
                <w:szCs w:val="24"/>
              </w:rPr>
              <w:t xml:space="preserve"> </w:t>
            </w:r>
            <w:r w:rsidR="004633E6" w:rsidRPr="001E192F">
              <w:rPr>
                <w:szCs w:val="24"/>
              </w:rPr>
              <w:t xml:space="preserve">In the ‘FF 5 Factor’ row, we </w:t>
            </w:r>
            <w:r w:rsidR="00021A8B" w:rsidRPr="001E192F">
              <w:rPr>
                <w:szCs w:val="24"/>
              </w:rPr>
              <w:t xml:space="preserve">use the </w:t>
            </w:r>
            <w:proofErr w:type="spellStart"/>
            <w:r w:rsidR="00021A8B" w:rsidRPr="001E192F">
              <w:rPr>
                <w:szCs w:val="24"/>
              </w:rPr>
              <w:t>Fama</w:t>
            </w:r>
            <w:proofErr w:type="spellEnd"/>
            <w:r w:rsidR="00021A8B" w:rsidRPr="001E192F">
              <w:rPr>
                <w:szCs w:val="24"/>
              </w:rPr>
              <w:t xml:space="preserve"> and French (2015) five-factor model</w:t>
            </w:r>
            <w:r w:rsidR="00993792" w:rsidRPr="001E192F">
              <w:rPr>
                <w:szCs w:val="24"/>
              </w:rPr>
              <w:t xml:space="preserve">.  </w:t>
            </w:r>
            <w:r w:rsidR="004633E6" w:rsidRPr="001E192F">
              <w:rPr>
                <w:szCs w:val="24"/>
              </w:rPr>
              <w:t>In the ‘All’ row, we use all of these alternative methodological choices in constructing our portfolios and estimating our portfolio alphas</w:t>
            </w:r>
            <w:r w:rsidR="00993792" w:rsidRPr="001E192F">
              <w:rPr>
                <w:szCs w:val="24"/>
              </w:rPr>
              <w:t xml:space="preserve">.  </w:t>
            </w:r>
            <w:r w:rsidR="004633E6" w:rsidRPr="001E192F">
              <w:rPr>
                <w:szCs w:val="24"/>
              </w:rPr>
              <w:t>The price data are from CRSP</w:t>
            </w:r>
            <w:r w:rsidR="00021A8B" w:rsidRPr="001E192F">
              <w:rPr>
                <w:szCs w:val="24"/>
              </w:rPr>
              <w:t>,</w:t>
            </w:r>
            <w:r w:rsidR="004633E6" w:rsidRPr="001E192F">
              <w:rPr>
                <w:szCs w:val="24"/>
              </w:rPr>
              <w:t xml:space="preserve"> and the momentum and reversal factors are from Kenneth French’s data library</w:t>
            </w:r>
            <w:r w:rsidR="00993792" w:rsidRPr="001E192F">
              <w:rPr>
                <w:szCs w:val="24"/>
              </w:rPr>
              <w:t xml:space="preserve">.  </w:t>
            </w:r>
            <w:r w:rsidR="00021A8B" w:rsidRPr="001E192F">
              <w:rPr>
                <w:szCs w:val="24"/>
              </w:rPr>
              <w:t>We report the alphas in the first row and the OLS t-statistics in parentheses in the second row.  *</w:t>
            </w:r>
            <w:r w:rsidR="00E65394" w:rsidRPr="001E192F">
              <w:rPr>
                <w:szCs w:val="24"/>
              </w:rPr>
              <w:t>, *</w:t>
            </w:r>
            <w:r w:rsidR="00021A8B" w:rsidRPr="001E192F">
              <w:rPr>
                <w:szCs w:val="24"/>
              </w:rPr>
              <w:t xml:space="preserve">*, *** </w:t>
            </w:r>
            <w:proofErr w:type="gramStart"/>
            <w:r w:rsidR="00021A8B" w:rsidRPr="001E192F">
              <w:rPr>
                <w:szCs w:val="24"/>
              </w:rPr>
              <w:t>denotes</w:t>
            </w:r>
            <w:proofErr w:type="gramEnd"/>
            <w:r w:rsidR="00021A8B" w:rsidRPr="001E192F">
              <w:rPr>
                <w:szCs w:val="24"/>
              </w:rPr>
              <w:t xml:space="preserve"> statistical significance at the </w:t>
            </w:r>
            <w:r w:rsidR="00E65394" w:rsidRPr="001E192F">
              <w:rPr>
                <w:szCs w:val="24"/>
              </w:rPr>
              <w:t xml:space="preserve">10%, </w:t>
            </w:r>
            <w:r w:rsidR="00021A8B" w:rsidRPr="001E192F">
              <w:rPr>
                <w:szCs w:val="24"/>
              </w:rPr>
              <w:lastRenderedPageBreak/>
              <w:t>5% and 1% levels, respectively.</w:t>
            </w:r>
          </w:p>
        </w:tc>
      </w:tr>
    </w:tbl>
    <w:p w14:paraId="10F985B3" w14:textId="77777777" w:rsidR="004633E6" w:rsidRPr="001E192F" w:rsidRDefault="004633E6" w:rsidP="009A2C29">
      <w:pPr>
        <w:pStyle w:val="Mydefault"/>
        <w:spacing w:line="240" w:lineRule="auto"/>
        <w:sectPr w:rsidR="004633E6" w:rsidRPr="001E192F" w:rsidSect="003419EC">
          <w:pgSz w:w="12240" w:h="15840"/>
          <w:pgMar w:top="810" w:right="720" w:bottom="720" w:left="720" w:header="720" w:footer="720" w:gutter="0"/>
          <w:cols w:space="720"/>
          <w:docGrid w:linePitch="360"/>
        </w:sectPr>
      </w:pP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1545"/>
        <w:gridCol w:w="1546"/>
        <w:gridCol w:w="1545"/>
        <w:gridCol w:w="1546"/>
        <w:gridCol w:w="1545"/>
        <w:gridCol w:w="1546"/>
      </w:tblGrid>
      <w:tr w:rsidR="004633E6" w:rsidRPr="001E192F" w14:paraId="1D1DAA51" w14:textId="77777777" w:rsidTr="00C000B0">
        <w:tc>
          <w:tcPr>
            <w:tcW w:w="10818" w:type="dxa"/>
            <w:gridSpan w:val="7"/>
          </w:tcPr>
          <w:p w14:paraId="5E2F5B75" w14:textId="11190DDA" w:rsidR="00660329" w:rsidRPr="001E192F" w:rsidRDefault="00660329" w:rsidP="009A2C29">
            <w:pPr>
              <w:pStyle w:val="Heading2"/>
              <w:outlineLvl w:val="1"/>
            </w:pPr>
            <w:r w:rsidRPr="001E192F">
              <w:lastRenderedPageBreak/>
              <w:t xml:space="preserve">Table </w:t>
            </w:r>
            <w:r w:rsidR="00021A8B" w:rsidRPr="001E192F">
              <w:t>3</w:t>
            </w:r>
          </w:p>
          <w:p w14:paraId="59D47FCE" w14:textId="17F0A975" w:rsidR="00660329" w:rsidRPr="001E192F" w:rsidRDefault="00660329" w:rsidP="009A2C29">
            <w:pPr>
              <w:pStyle w:val="Heading3"/>
              <w:outlineLvl w:val="2"/>
            </w:pPr>
            <w:r w:rsidRPr="001E192F">
              <w:t>Alphas (%) for Equal-Weighted, Idiosyncratic Volatility-Sorted Portfolios</w:t>
            </w:r>
          </w:p>
          <w:p w14:paraId="1902D7CE" w14:textId="692D7CC9" w:rsidR="004633E6" w:rsidRPr="001E192F" w:rsidRDefault="004633E6" w:rsidP="009A2C29">
            <w:pPr>
              <w:spacing w:after="0" w:line="240" w:lineRule="auto"/>
              <w:jc w:val="center"/>
              <w:rPr>
                <w:b/>
                <w:szCs w:val="24"/>
              </w:rPr>
            </w:pPr>
          </w:p>
        </w:tc>
      </w:tr>
      <w:tr w:rsidR="00660329" w:rsidRPr="001E192F" w14:paraId="6A3C5BD2" w14:textId="77777777" w:rsidTr="00A01EE9">
        <w:trPr>
          <w:trHeight w:val="276"/>
        </w:trPr>
        <w:tc>
          <w:tcPr>
            <w:tcW w:w="1545" w:type="dxa"/>
            <w:tcBorders>
              <w:top w:val="single" w:sz="4" w:space="0" w:color="auto"/>
              <w:bottom w:val="single" w:sz="4" w:space="0" w:color="auto"/>
            </w:tcBorders>
          </w:tcPr>
          <w:p w14:paraId="161BACE9" w14:textId="77777777" w:rsidR="004633E6" w:rsidRPr="001E192F" w:rsidRDefault="004633E6" w:rsidP="009A2C29">
            <w:pPr>
              <w:spacing w:after="0" w:line="240" w:lineRule="auto"/>
              <w:ind w:firstLine="0"/>
              <w:jc w:val="center"/>
              <w:rPr>
                <w:szCs w:val="24"/>
              </w:rPr>
            </w:pPr>
            <w:r w:rsidRPr="001E192F">
              <w:rPr>
                <w:szCs w:val="24"/>
              </w:rPr>
              <w:t>Methodology</w:t>
            </w:r>
          </w:p>
        </w:tc>
        <w:tc>
          <w:tcPr>
            <w:tcW w:w="1545" w:type="dxa"/>
            <w:tcBorders>
              <w:top w:val="single" w:sz="4" w:space="0" w:color="auto"/>
              <w:bottom w:val="single" w:sz="4" w:space="0" w:color="auto"/>
            </w:tcBorders>
          </w:tcPr>
          <w:p w14:paraId="3EC5250F" w14:textId="77777777" w:rsidR="004633E6" w:rsidRPr="001E192F" w:rsidRDefault="004633E6" w:rsidP="009A2C29">
            <w:pPr>
              <w:spacing w:after="0" w:line="240" w:lineRule="auto"/>
              <w:ind w:firstLine="0"/>
              <w:jc w:val="center"/>
              <w:rPr>
                <w:szCs w:val="24"/>
              </w:rPr>
            </w:pPr>
            <w:r w:rsidRPr="001E192F">
              <w:rPr>
                <w:szCs w:val="24"/>
              </w:rPr>
              <w:t>L</w:t>
            </w:r>
          </w:p>
        </w:tc>
        <w:tc>
          <w:tcPr>
            <w:tcW w:w="1546" w:type="dxa"/>
            <w:tcBorders>
              <w:top w:val="single" w:sz="4" w:space="0" w:color="auto"/>
              <w:bottom w:val="single" w:sz="4" w:space="0" w:color="auto"/>
            </w:tcBorders>
          </w:tcPr>
          <w:p w14:paraId="2C2B960E" w14:textId="77777777" w:rsidR="004633E6" w:rsidRPr="001E192F" w:rsidRDefault="004633E6" w:rsidP="009A2C29">
            <w:pPr>
              <w:spacing w:after="0" w:line="240" w:lineRule="auto"/>
              <w:ind w:firstLine="0"/>
              <w:jc w:val="center"/>
              <w:rPr>
                <w:szCs w:val="24"/>
              </w:rPr>
            </w:pPr>
            <w:r w:rsidRPr="001E192F">
              <w:rPr>
                <w:szCs w:val="24"/>
              </w:rPr>
              <w:t>ML</w:t>
            </w:r>
          </w:p>
        </w:tc>
        <w:tc>
          <w:tcPr>
            <w:tcW w:w="1545" w:type="dxa"/>
            <w:tcBorders>
              <w:top w:val="single" w:sz="4" w:space="0" w:color="auto"/>
              <w:bottom w:val="single" w:sz="4" w:space="0" w:color="auto"/>
            </w:tcBorders>
          </w:tcPr>
          <w:p w14:paraId="1F285641" w14:textId="77777777" w:rsidR="004633E6" w:rsidRPr="001E192F" w:rsidRDefault="004633E6" w:rsidP="009A2C29">
            <w:pPr>
              <w:spacing w:after="0" w:line="240" w:lineRule="auto"/>
              <w:ind w:firstLine="0"/>
              <w:jc w:val="center"/>
              <w:rPr>
                <w:szCs w:val="24"/>
              </w:rPr>
            </w:pPr>
            <w:r w:rsidRPr="001E192F">
              <w:rPr>
                <w:szCs w:val="24"/>
              </w:rPr>
              <w:t>M</w:t>
            </w:r>
          </w:p>
        </w:tc>
        <w:tc>
          <w:tcPr>
            <w:tcW w:w="1546" w:type="dxa"/>
            <w:tcBorders>
              <w:top w:val="single" w:sz="4" w:space="0" w:color="auto"/>
              <w:bottom w:val="single" w:sz="4" w:space="0" w:color="auto"/>
            </w:tcBorders>
          </w:tcPr>
          <w:p w14:paraId="6981B3CF" w14:textId="77777777" w:rsidR="004633E6" w:rsidRPr="001E192F" w:rsidRDefault="004633E6" w:rsidP="009A2C29">
            <w:pPr>
              <w:spacing w:after="0" w:line="240" w:lineRule="auto"/>
              <w:ind w:firstLine="0"/>
              <w:jc w:val="center"/>
              <w:rPr>
                <w:szCs w:val="24"/>
              </w:rPr>
            </w:pPr>
            <w:r w:rsidRPr="001E192F">
              <w:rPr>
                <w:szCs w:val="24"/>
              </w:rPr>
              <w:t>MH</w:t>
            </w:r>
          </w:p>
        </w:tc>
        <w:tc>
          <w:tcPr>
            <w:tcW w:w="1545" w:type="dxa"/>
            <w:tcBorders>
              <w:top w:val="single" w:sz="4" w:space="0" w:color="auto"/>
              <w:bottom w:val="single" w:sz="4" w:space="0" w:color="auto"/>
            </w:tcBorders>
          </w:tcPr>
          <w:p w14:paraId="2FDBEEE2" w14:textId="77777777" w:rsidR="004633E6" w:rsidRPr="001E192F" w:rsidRDefault="004633E6" w:rsidP="009A2C29">
            <w:pPr>
              <w:spacing w:after="0" w:line="240" w:lineRule="auto"/>
              <w:ind w:firstLine="0"/>
              <w:jc w:val="center"/>
              <w:rPr>
                <w:szCs w:val="24"/>
              </w:rPr>
            </w:pPr>
            <w:r w:rsidRPr="001E192F">
              <w:rPr>
                <w:szCs w:val="24"/>
              </w:rPr>
              <w:t>H</w:t>
            </w:r>
          </w:p>
        </w:tc>
        <w:tc>
          <w:tcPr>
            <w:tcW w:w="1546" w:type="dxa"/>
            <w:tcBorders>
              <w:top w:val="single" w:sz="4" w:space="0" w:color="auto"/>
              <w:bottom w:val="single" w:sz="4" w:space="0" w:color="auto"/>
            </w:tcBorders>
          </w:tcPr>
          <w:p w14:paraId="2368100C" w14:textId="77777777" w:rsidR="004633E6" w:rsidRPr="001E192F" w:rsidRDefault="004633E6" w:rsidP="009A2C29">
            <w:pPr>
              <w:spacing w:after="0" w:line="240" w:lineRule="auto"/>
              <w:ind w:firstLine="0"/>
              <w:jc w:val="center"/>
              <w:rPr>
                <w:szCs w:val="24"/>
              </w:rPr>
            </w:pPr>
            <w:r w:rsidRPr="001E192F">
              <w:rPr>
                <w:szCs w:val="24"/>
              </w:rPr>
              <w:t>H-L</w:t>
            </w:r>
          </w:p>
        </w:tc>
      </w:tr>
      <w:tr w:rsidR="00660329" w:rsidRPr="001E192F" w14:paraId="0A1779F2" w14:textId="77777777" w:rsidTr="00A01EE9">
        <w:trPr>
          <w:trHeight w:val="276"/>
        </w:trPr>
        <w:tc>
          <w:tcPr>
            <w:tcW w:w="1545" w:type="dxa"/>
            <w:tcBorders>
              <w:top w:val="single" w:sz="4" w:space="0" w:color="auto"/>
            </w:tcBorders>
          </w:tcPr>
          <w:p w14:paraId="289B81B9" w14:textId="77777777" w:rsidR="00660329" w:rsidRPr="001E192F" w:rsidRDefault="00660329" w:rsidP="009A2C29">
            <w:pPr>
              <w:pStyle w:val="TableBody"/>
              <w:rPr>
                <w:szCs w:val="24"/>
              </w:rPr>
            </w:pPr>
            <w:r w:rsidRPr="001E192F">
              <w:rPr>
                <w:szCs w:val="24"/>
              </w:rPr>
              <w:t>Benchmark</w:t>
            </w:r>
          </w:p>
        </w:tc>
        <w:tc>
          <w:tcPr>
            <w:tcW w:w="1545" w:type="dxa"/>
            <w:tcBorders>
              <w:top w:val="single" w:sz="4" w:space="0" w:color="auto"/>
            </w:tcBorders>
            <w:vAlign w:val="bottom"/>
          </w:tcPr>
          <w:p w14:paraId="70CC6867" w14:textId="7BD9F360" w:rsidR="00660329" w:rsidRPr="001E192F" w:rsidRDefault="00660329" w:rsidP="009A2C29">
            <w:pPr>
              <w:pStyle w:val="TableBody"/>
              <w:rPr>
                <w:szCs w:val="24"/>
              </w:rPr>
            </w:pPr>
            <w:r w:rsidRPr="001E192F">
              <w:rPr>
                <w:color w:val="000000"/>
                <w:szCs w:val="24"/>
              </w:rPr>
              <w:t>0.047</w:t>
            </w:r>
          </w:p>
        </w:tc>
        <w:tc>
          <w:tcPr>
            <w:tcW w:w="1546" w:type="dxa"/>
            <w:tcBorders>
              <w:top w:val="single" w:sz="4" w:space="0" w:color="auto"/>
            </w:tcBorders>
            <w:vAlign w:val="bottom"/>
          </w:tcPr>
          <w:p w14:paraId="6CCE1B38" w14:textId="769DA5A2" w:rsidR="00660329" w:rsidRPr="001E192F" w:rsidRDefault="00660329" w:rsidP="009A2C29">
            <w:pPr>
              <w:pStyle w:val="TableBody"/>
              <w:rPr>
                <w:szCs w:val="24"/>
              </w:rPr>
            </w:pPr>
            <w:r w:rsidRPr="001E192F">
              <w:rPr>
                <w:color w:val="000000"/>
                <w:szCs w:val="24"/>
              </w:rPr>
              <w:t>0.214***</w:t>
            </w:r>
          </w:p>
        </w:tc>
        <w:tc>
          <w:tcPr>
            <w:tcW w:w="1545" w:type="dxa"/>
            <w:tcBorders>
              <w:top w:val="single" w:sz="4" w:space="0" w:color="auto"/>
            </w:tcBorders>
            <w:vAlign w:val="bottom"/>
          </w:tcPr>
          <w:p w14:paraId="39F73173" w14:textId="1DAA5AA2" w:rsidR="00660329" w:rsidRPr="001E192F" w:rsidRDefault="00660329" w:rsidP="009A2C29">
            <w:pPr>
              <w:pStyle w:val="TableBody"/>
              <w:rPr>
                <w:szCs w:val="24"/>
              </w:rPr>
            </w:pPr>
            <w:r w:rsidRPr="001E192F">
              <w:rPr>
                <w:color w:val="000000"/>
                <w:szCs w:val="24"/>
              </w:rPr>
              <w:t>0.138**</w:t>
            </w:r>
          </w:p>
        </w:tc>
        <w:tc>
          <w:tcPr>
            <w:tcW w:w="1546" w:type="dxa"/>
            <w:tcBorders>
              <w:top w:val="single" w:sz="4" w:space="0" w:color="auto"/>
            </w:tcBorders>
            <w:vAlign w:val="bottom"/>
          </w:tcPr>
          <w:p w14:paraId="5B30D73A" w14:textId="29780875" w:rsidR="00660329" w:rsidRPr="001E192F" w:rsidRDefault="00660329" w:rsidP="009A2C29">
            <w:pPr>
              <w:pStyle w:val="TableBody"/>
              <w:rPr>
                <w:szCs w:val="24"/>
              </w:rPr>
            </w:pPr>
            <w:r w:rsidRPr="001E192F">
              <w:rPr>
                <w:color w:val="000000"/>
                <w:szCs w:val="24"/>
              </w:rPr>
              <w:t>-0.109</w:t>
            </w:r>
          </w:p>
        </w:tc>
        <w:tc>
          <w:tcPr>
            <w:tcW w:w="1545" w:type="dxa"/>
            <w:tcBorders>
              <w:top w:val="single" w:sz="4" w:space="0" w:color="auto"/>
            </w:tcBorders>
            <w:vAlign w:val="bottom"/>
          </w:tcPr>
          <w:p w14:paraId="7BBDACB9" w14:textId="1A26E28D" w:rsidR="00660329" w:rsidRPr="001E192F" w:rsidRDefault="00660329" w:rsidP="009A2C29">
            <w:pPr>
              <w:pStyle w:val="TableBody"/>
              <w:rPr>
                <w:szCs w:val="24"/>
              </w:rPr>
            </w:pPr>
            <w:r w:rsidRPr="001E192F">
              <w:rPr>
                <w:color w:val="000000"/>
                <w:szCs w:val="24"/>
              </w:rPr>
              <w:t>-0.311</w:t>
            </w:r>
          </w:p>
        </w:tc>
        <w:tc>
          <w:tcPr>
            <w:tcW w:w="1546" w:type="dxa"/>
            <w:tcBorders>
              <w:top w:val="single" w:sz="4" w:space="0" w:color="auto"/>
            </w:tcBorders>
            <w:vAlign w:val="bottom"/>
          </w:tcPr>
          <w:p w14:paraId="3698418C" w14:textId="5B1C6EBA" w:rsidR="00660329" w:rsidRPr="001E192F" w:rsidRDefault="00660329" w:rsidP="009A2C29">
            <w:pPr>
              <w:pStyle w:val="TableBody"/>
              <w:rPr>
                <w:szCs w:val="24"/>
              </w:rPr>
            </w:pPr>
            <w:r w:rsidRPr="001E192F">
              <w:rPr>
                <w:color w:val="000000"/>
                <w:szCs w:val="24"/>
              </w:rPr>
              <w:t>-0.358*</w:t>
            </w:r>
          </w:p>
        </w:tc>
      </w:tr>
      <w:tr w:rsidR="00660329" w:rsidRPr="001E192F" w14:paraId="3ADE0BC3" w14:textId="77777777" w:rsidTr="00A01EE9">
        <w:trPr>
          <w:trHeight w:val="276"/>
        </w:trPr>
        <w:tc>
          <w:tcPr>
            <w:tcW w:w="1545" w:type="dxa"/>
          </w:tcPr>
          <w:p w14:paraId="41ADE379" w14:textId="4E499AEA" w:rsidR="00660329" w:rsidRPr="001E192F" w:rsidRDefault="005C5062" w:rsidP="009A2C29">
            <w:pPr>
              <w:pStyle w:val="TableBody"/>
              <w:rPr>
                <w:szCs w:val="24"/>
              </w:rPr>
            </w:pPr>
            <w:r w:rsidRPr="001E192F">
              <w:rPr>
                <w:szCs w:val="24"/>
              </w:rPr>
              <w:t>(</w:t>
            </w:r>
            <w:proofErr w:type="gramStart"/>
            <w:r w:rsidRPr="001E192F">
              <w:rPr>
                <w:szCs w:val="24"/>
              </w:rPr>
              <w:t>equal</w:t>
            </w:r>
            <w:proofErr w:type="gramEnd"/>
            <w:r w:rsidRPr="001E192F">
              <w:rPr>
                <w:szCs w:val="24"/>
              </w:rPr>
              <w:t>-weighted)</w:t>
            </w:r>
          </w:p>
        </w:tc>
        <w:tc>
          <w:tcPr>
            <w:tcW w:w="1545" w:type="dxa"/>
            <w:vAlign w:val="bottom"/>
          </w:tcPr>
          <w:p w14:paraId="46FC7964" w14:textId="1F92420A" w:rsidR="00660329" w:rsidRPr="001E192F" w:rsidRDefault="00660329" w:rsidP="009A2C29">
            <w:pPr>
              <w:pStyle w:val="TableBody"/>
              <w:rPr>
                <w:szCs w:val="24"/>
              </w:rPr>
            </w:pPr>
            <w:r w:rsidRPr="001E192F">
              <w:rPr>
                <w:color w:val="000000"/>
                <w:szCs w:val="24"/>
              </w:rPr>
              <w:t>(0.689)</w:t>
            </w:r>
          </w:p>
        </w:tc>
        <w:tc>
          <w:tcPr>
            <w:tcW w:w="1546" w:type="dxa"/>
            <w:vAlign w:val="bottom"/>
          </w:tcPr>
          <w:p w14:paraId="5EC9C266" w14:textId="0FC840EA" w:rsidR="00660329" w:rsidRPr="001E192F" w:rsidRDefault="00660329" w:rsidP="009A2C29">
            <w:pPr>
              <w:pStyle w:val="TableBody"/>
              <w:rPr>
                <w:szCs w:val="24"/>
              </w:rPr>
            </w:pPr>
            <w:r w:rsidRPr="001E192F">
              <w:rPr>
                <w:color w:val="000000"/>
                <w:szCs w:val="24"/>
              </w:rPr>
              <w:t>(3.362)</w:t>
            </w:r>
          </w:p>
        </w:tc>
        <w:tc>
          <w:tcPr>
            <w:tcW w:w="1545" w:type="dxa"/>
            <w:vAlign w:val="bottom"/>
          </w:tcPr>
          <w:p w14:paraId="7D33B16C" w14:textId="0CCFA8F3" w:rsidR="00660329" w:rsidRPr="001E192F" w:rsidRDefault="00660329" w:rsidP="009A2C29">
            <w:pPr>
              <w:pStyle w:val="TableBody"/>
              <w:rPr>
                <w:szCs w:val="24"/>
              </w:rPr>
            </w:pPr>
            <w:r w:rsidRPr="001E192F">
              <w:rPr>
                <w:color w:val="000000"/>
                <w:szCs w:val="24"/>
              </w:rPr>
              <w:t>(2.018)</w:t>
            </w:r>
          </w:p>
        </w:tc>
        <w:tc>
          <w:tcPr>
            <w:tcW w:w="1546" w:type="dxa"/>
            <w:vAlign w:val="bottom"/>
          </w:tcPr>
          <w:p w14:paraId="432A6B6E" w14:textId="7B42BBB7" w:rsidR="00660329" w:rsidRPr="001E192F" w:rsidRDefault="00660329" w:rsidP="009A2C29">
            <w:pPr>
              <w:pStyle w:val="TableBody"/>
              <w:rPr>
                <w:szCs w:val="24"/>
              </w:rPr>
            </w:pPr>
            <w:r w:rsidRPr="001E192F">
              <w:rPr>
                <w:color w:val="000000"/>
                <w:szCs w:val="24"/>
              </w:rPr>
              <w:t>(-1.118)</w:t>
            </w:r>
          </w:p>
        </w:tc>
        <w:tc>
          <w:tcPr>
            <w:tcW w:w="1545" w:type="dxa"/>
            <w:vAlign w:val="bottom"/>
          </w:tcPr>
          <w:p w14:paraId="4D6823B7" w14:textId="07C56C2C" w:rsidR="00660329" w:rsidRPr="001E192F" w:rsidRDefault="00660329" w:rsidP="009A2C29">
            <w:pPr>
              <w:pStyle w:val="TableBody"/>
              <w:rPr>
                <w:szCs w:val="24"/>
              </w:rPr>
            </w:pPr>
            <w:r w:rsidRPr="001E192F">
              <w:rPr>
                <w:color w:val="000000"/>
                <w:szCs w:val="24"/>
              </w:rPr>
              <w:t>(-1.645)</w:t>
            </w:r>
          </w:p>
        </w:tc>
        <w:tc>
          <w:tcPr>
            <w:tcW w:w="1546" w:type="dxa"/>
            <w:vAlign w:val="bottom"/>
          </w:tcPr>
          <w:p w14:paraId="2F2F0BA2" w14:textId="3CF7EBED" w:rsidR="00660329" w:rsidRPr="001E192F" w:rsidRDefault="00660329" w:rsidP="009A2C29">
            <w:pPr>
              <w:pStyle w:val="TableBody"/>
              <w:rPr>
                <w:szCs w:val="24"/>
              </w:rPr>
            </w:pPr>
            <w:r w:rsidRPr="001E192F">
              <w:rPr>
                <w:color w:val="000000"/>
                <w:szCs w:val="24"/>
              </w:rPr>
              <w:t>(-1.755)</w:t>
            </w:r>
          </w:p>
        </w:tc>
      </w:tr>
      <w:tr w:rsidR="00660329" w:rsidRPr="001E192F" w14:paraId="085383DD" w14:textId="77777777" w:rsidTr="00A01EE9">
        <w:trPr>
          <w:trHeight w:val="276"/>
        </w:trPr>
        <w:tc>
          <w:tcPr>
            <w:tcW w:w="1545" w:type="dxa"/>
          </w:tcPr>
          <w:p w14:paraId="7375FD5F" w14:textId="77777777" w:rsidR="004633E6" w:rsidRPr="001E192F" w:rsidRDefault="004633E6" w:rsidP="009A2C29">
            <w:pPr>
              <w:pStyle w:val="TableBody"/>
              <w:rPr>
                <w:szCs w:val="24"/>
              </w:rPr>
            </w:pPr>
          </w:p>
        </w:tc>
        <w:tc>
          <w:tcPr>
            <w:tcW w:w="1545" w:type="dxa"/>
            <w:vAlign w:val="bottom"/>
          </w:tcPr>
          <w:p w14:paraId="108614EF" w14:textId="77777777" w:rsidR="004633E6" w:rsidRPr="001E192F" w:rsidRDefault="004633E6" w:rsidP="009A2C29">
            <w:pPr>
              <w:pStyle w:val="TableBody"/>
              <w:rPr>
                <w:color w:val="000000"/>
                <w:szCs w:val="24"/>
              </w:rPr>
            </w:pPr>
          </w:p>
        </w:tc>
        <w:tc>
          <w:tcPr>
            <w:tcW w:w="1546" w:type="dxa"/>
            <w:vAlign w:val="bottom"/>
          </w:tcPr>
          <w:p w14:paraId="02DDCC33" w14:textId="77777777" w:rsidR="004633E6" w:rsidRPr="001E192F" w:rsidRDefault="004633E6" w:rsidP="009A2C29">
            <w:pPr>
              <w:pStyle w:val="TableBody"/>
              <w:rPr>
                <w:color w:val="000000"/>
                <w:szCs w:val="24"/>
              </w:rPr>
            </w:pPr>
          </w:p>
        </w:tc>
        <w:tc>
          <w:tcPr>
            <w:tcW w:w="1545" w:type="dxa"/>
            <w:vAlign w:val="bottom"/>
          </w:tcPr>
          <w:p w14:paraId="11EF7CEC" w14:textId="77777777" w:rsidR="004633E6" w:rsidRPr="001E192F" w:rsidRDefault="004633E6" w:rsidP="009A2C29">
            <w:pPr>
              <w:pStyle w:val="TableBody"/>
              <w:rPr>
                <w:color w:val="000000"/>
                <w:szCs w:val="24"/>
              </w:rPr>
            </w:pPr>
          </w:p>
        </w:tc>
        <w:tc>
          <w:tcPr>
            <w:tcW w:w="1546" w:type="dxa"/>
            <w:vAlign w:val="bottom"/>
          </w:tcPr>
          <w:p w14:paraId="2B982CA6" w14:textId="77777777" w:rsidR="004633E6" w:rsidRPr="001E192F" w:rsidRDefault="004633E6" w:rsidP="009A2C29">
            <w:pPr>
              <w:pStyle w:val="TableBody"/>
              <w:rPr>
                <w:color w:val="000000"/>
                <w:szCs w:val="24"/>
              </w:rPr>
            </w:pPr>
          </w:p>
        </w:tc>
        <w:tc>
          <w:tcPr>
            <w:tcW w:w="1545" w:type="dxa"/>
            <w:vAlign w:val="bottom"/>
          </w:tcPr>
          <w:p w14:paraId="07F5AEA8" w14:textId="77777777" w:rsidR="004633E6" w:rsidRPr="001E192F" w:rsidRDefault="004633E6" w:rsidP="009A2C29">
            <w:pPr>
              <w:pStyle w:val="TableBody"/>
              <w:rPr>
                <w:color w:val="000000"/>
                <w:szCs w:val="24"/>
              </w:rPr>
            </w:pPr>
          </w:p>
        </w:tc>
        <w:tc>
          <w:tcPr>
            <w:tcW w:w="1546" w:type="dxa"/>
            <w:vAlign w:val="bottom"/>
          </w:tcPr>
          <w:p w14:paraId="773A080B" w14:textId="77777777" w:rsidR="004633E6" w:rsidRPr="001E192F" w:rsidRDefault="004633E6" w:rsidP="009A2C29">
            <w:pPr>
              <w:pStyle w:val="TableBody"/>
              <w:rPr>
                <w:color w:val="000000"/>
                <w:szCs w:val="24"/>
              </w:rPr>
            </w:pPr>
          </w:p>
        </w:tc>
      </w:tr>
      <w:tr w:rsidR="00660329" w:rsidRPr="001E192F" w14:paraId="70490752" w14:textId="77777777" w:rsidTr="00A01EE9">
        <w:trPr>
          <w:trHeight w:val="276"/>
        </w:trPr>
        <w:tc>
          <w:tcPr>
            <w:tcW w:w="1545" w:type="dxa"/>
          </w:tcPr>
          <w:p w14:paraId="06F65E20" w14:textId="0018AED8" w:rsidR="00660329" w:rsidRPr="001E192F" w:rsidRDefault="005C5062" w:rsidP="009A2C29">
            <w:pPr>
              <w:pStyle w:val="TableBody"/>
              <w:rPr>
                <w:szCs w:val="24"/>
              </w:rPr>
            </w:pPr>
            <w:r w:rsidRPr="001E192F">
              <w:rPr>
                <w:szCs w:val="24"/>
              </w:rPr>
              <w:t>Turn-of-Year</w:t>
            </w:r>
            <w:r w:rsidR="00660329" w:rsidRPr="001E192F">
              <w:rPr>
                <w:szCs w:val="24"/>
              </w:rPr>
              <w:t xml:space="preserve"> </w:t>
            </w:r>
          </w:p>
        </w:tc>
        <w:tc>
          <w:tcPr>
            <w:tcW w:w="1545" w:type="dxa"/>
            <w:vAlign w:val="bottom"/>
          </w:tcPr>
          <w:p w14:paraId="3485A4E1" w14:textId="2F9B2E10" w:rsidR="00660329" w:rsidRPr="001E192F" w:rsidRDefault="00660329" w:rsidP="009A2C29">
            <w:pPr>
              <w:pStyle w:val="TableBody"/>
              <w:rPr>
                <w:szCs w:val="24"/>
              </w:rPr>
            </w:pPr>
            <w:r w:rsidRPr="001E192F">
              <w:rPr>
                <w:color w:val="000000"/>
                <w:szCs w:val="24"/>
              </w:rPr>
              <w:t>0.057</w:t>
            </w:r>
          </w:p>
        </w:tc>
        <w:tc>
          <w:tcPr>
            <w:tcW w:w="1546" w:type="dxa"/>
            <w:vAlign w:val="bottom"/>
          </w:tcPr>
          <w:p w14:paraId="06130882" w14:textId="77AE6FA3" w:rsidR="00660329" w:rsidRPr="001E192F" w:rsidRDefault="00660329" w:rsidP="009A2C29">
            <w:pPr>
              <w:pStyle w:val="TableBody"/>
              <w:rPr>
                <w:szCs w:val="24"/>
              </w:rPr>
            </w:pPr>
            <w:r w:rsidRPr="001E192F">
              <w:rPr>
                <w:color w:val="000000"/>
                <w:szCs w:val="24"/>
              </w:rPr>
              <w:t>0.196***</w:t>
            </w:r>
          </w:p>
        </w:tc>
        <w:tc>
          <w:tcPr>
            <w:tcW w:w="1545" w:type="dxa"/>
            <w:vAlign w:val="bottom"/>
          </w:tcPr>
          <w:p w14:paraId="233A229E" w14:textId="1669DF05" w:rsidR="00660329" w:rsidRPr="001E192F" w:rsidRDefault="00660329" w:rsidP="009A2C29">
            <w:pPr>
              <w:pStyle w:val="TableBody"/>
              <w:rPr>
                <w:szCs w:val="24"/>
              </w:rPr>
            </w:pPr>
            <w:r w:rsidRPr="001E192F">
              <w:rPr>
                <w:color w:val="000000"/>
                <w:szCs w:val="24"/>
              </w:rPr>
              <w:t>0.056</w:t>
            </w:r>
          </w:p>
        </w:tc>
        <w:tc>
          <w:tcPr>
            <w:tcW w:w="1546" w:type="dxa"/>
            <w:vAlign w:val="bottom"/>
          </w:tcPr>
          <w:p w14:paraId="084ED481" w14:textId="10CD388F" w:rsidR="00660329" w:rsidRPr="001E192F" w:rsidRDefault="00660329" w:rsidP="009A2C29">
            <w:pPr>
              <w:pStyle w:val="TableBody"/>
              <w:rPr>
                <w:szCs w:val="24"/>
              </w:rPr>
            </w:pPr>
            <w:r w:rsidRPr="001E192F">
              <w:rPr>
                <w:color w:val="000000"/>
                <w:szCs w:val="24"/>
              </w:rPr>
              <w:t>-0.303***</w:t>
            </w:r>
          </w:p>
        </w:tc>
        <w:tc>
          <w:tcPr>
            <w:tcW w:w="1545" w:type="dxa"/>
            <w:vAlign w:val="bottom"/>
          </w:tcPr>
          <w:p w14:paraId="533B08D1" w14:textId="06A7F0D2" w:rsidR="00660329" w:rsidRPr="001E192F" w:rsidRDefault="00660329" w:rsidP="009A2C29">
            <w:pPr>
              <w:pStyle w:val="TableBody"/>
              <w:rPr>
                <w:szCs w:val="24"/>
              </w:rPr>
            </w:pPr>
            <w:r w:rsidRPr="001E192F">
              <w:rPr>
                <w:color w:val="000000"/>
                <w:szCs w:val="24"/>
              </w:rPr>
              <w:t>-0.811***</w:t>
            </w:r>
          </w:p>
        </w:tc>
        <w:tc>
          <w:tcPr>
            <w:tcW w:w="1546" w:type="dxa"/>
            <w:vAlign w:val="bottom"/>
          </w:tcPr>
          <w:p w14:paraId="1ACE1D5C" w14:textId="4E0806DC" w:rsidR="00660329" w:rsidRPr="001E192F" w:rsidRDefault="00660329" w:rsidP="009A2C29">
            <w:pPr>
              <w:pStyle w:val="TableBody"/>
              <w:rPr>
                <w:szCs w:val="24"/>
              </w:rPr>
            </w:pPr>
            <w:r w:rsidRPr="001E192F">
              <w:rPr>
                <w:color w:val="000000"/>
                <w:szCs w:val="24"/>
              </w:rPr>
              <w:t>-0.868***</w:t>
            </w:r>
          </w:p>
        </w:tc>
      </w:tr>
      <w:tr w:rsidR="00660329" w:rsidRPr="001E192F" w14:paraId="5D2DA8AA" w14:textId="77777777" w:rsidTr="00A01EE9">
        <w:trPr>
          <w:trHeight w:val="276"/>
        </w:trPr>
        <w:tc>
          <w:tcPr>
            <w:tcW w:w="1545" w:type="dxa"/>
          </w:tcPr>
          <w:p w14:paraId="3CAAB7C5" w14:textId="14E5C01E" w:rsidR="00660329" w:rsidRPr="001E192F" w:rsidRDefault="005C5062" w:rsidP="009A2C29">
            <w:pPr>
              <w:pStyle w:val="TableBody"/>
              <w:rPr>
                <w:szCs w:val="24"/>
              </w:rPr>
            </w:pPr>
            <w:r w:rsidRPr="001E192F">
              <w:rPr>
                <w:szCs w:val="24"/>
              </w:rPr>
              <w:t>Factor</w:t>
            </w:r>
          </w:p>
        </w:tc>
        <w:tc>
          <w:tcPr>
            <w:tcW w:w="1545" w:type="dxa"/>
            <w:vAlign w:val="bottom"/>
          </w:tcPr>
          <w:p w14:paraId="7C58D874" w14:textId="71593B7A" w:rsidR="00660329" w:rsidRPr="001E192F" w:rsidRDefault="00660329" w:rsidP="009A2C29">
            <w:pPr>
              <w:pStyle w:val="TableBody"/>
              <w:rPr>
                <w:szCs w:val="24"/>
              </w:rPr>
            </w:pPr>
            <w:r w:rsidRPr="001E192F">
              <w:rPr>
                <w:color w:val="000000"/>
                <w:szCs w:val="24"/>
              </w:rPr>
              <w:t>(0.808)</w:t>
            </w:r>
          </w:p>
        </w:tc>
        <w:tc>
          <w:tcPr>
            <w:tcW w:w="1546" w:type="dxa"/>
            <w:vAlign w:val="bottom"/>
          </w:tcPr>
          <w:p w14:paraId="7774DCD0" w14:textId="7C70BC95" w:rsidR="00660329" w:rsidRPr="001E192F" w:rsidRDefault="00660329" w:rsidP="009A2C29">
            <w:pPr>
              <w:pStyle w:val="TableBody"/>
              <w:rPr>
                <w:szCs w:val="24"/>
              </w:rPr>
            </w:pPr>
            <w:r w:rsidRPr="001E192F">
              <w:rPr>
                <w:color w:val="000000"/>
                <w:szCs w:val="24"/>
              </w:rPr>
              <w:t>(2.999)</w:t>
            </w:r>
          </w:p>
        </w:tc>
        <w:tc>
          <w:tcPr>
            <w:tcW w:w="1545" w:type="dxa"/>
            <w:vAlign w:val="bottom"/>
          </w:tcPr>
          <w:p w14:paraId="59480F5F" w14:textId="67272086" w:rsidR="00660329" w:rsidRPr="001E192F" w:rsidRDefault="00660329" w:rsidP="009A2C29">
            <w:pPr>
              <w:pStyle w:val="TableBody"/>
              <w:rPr>
                <w:szCs w:val="24"/>
              </w:rPr>
            </w:pPr>
            <w:r w:rsidRPr="001E192F">
              <w:rPr>
                <w:color w:val="000000"/>
                <w:szCs w:val="24"/>
              </w:rPr>
              <w:t>(0.817)</w:t>
            </w:r>
          </w:p>
        </w:tc>
        <w:tc>
          <w:tcPr>
            <w:tcW w:w="1546" w:type="dxa"/>
            <w:vAlign w:val="bottom"/>
          </w:tcPr>
          <w:p w14:paraId="3C829A6F" w14:textId="1F0D3914" w:rsidR="00660329" w:rsidRPr="001E192F" w:rsidRDefault="00660329" w:rsidP="009A2C29">
            <w:pPr>
              <w:pStyle w:val="TableBody"/>
              <w:rPr>
                <w:szCs w:val="24"/>
              </w:rPr>
            </w:pPr>
            <w:r w:rsidRPr="001E192F">
              <w:rPr>
                <w:color w:val="000000"/>
                <w:szCs w:val="24"/>
              </w:rPr>
              <w:t>(-3.299)</w:t>
            </w:r>
          </w:p>
        </w:tc>
        <w:tc>
          <w:tcPr>
            <w:tcW w:w="1545" w:type="dxa"/>
            <w:vAlign w:val="bottom"/>
          </w:tcPr>
          <w:p w14:paraId="796B75E1" w14:textId="72017BB3" w:rsidR="00660329" w:rsidRPr="001E192F" w:rsidRDefault="00660329" w:rsidP="009A2C29">
            <w:pPr>
              <w:pStyle w:val="TableBody"/>
              <w:rPr>
                <w:szCs w:val="24"/>
              </w:rPr>
            </w:pPr>
            <w:r w:rsidRPr="001E192F">
              <w:rPr>
                <w:color w:val="000000"/>
                <w:szCs w:val="24"/>
              </w:rPr>
              <w:t>(-4.906)</w:t>
            </w:r>
          </w:p>
        </w:tc>
        <w:tc>
          <w:tcPr>
            <w:tcW w:w="1546" w:type="dxa"/>
            <w:vAlign w:val="bottom"/>
          </w:tcPr>
          <w:p w14:paraId="2A96259C" w14:textId="3E5FAB38" w:rsidR="00660329" w:rsidRPr="001E192F" w:rsidRDefault="00660329" w:rsidP="009A2C29">
            <w:pPr>
              <w:pStyle w:val="TableBody"/>
              <w:rPr>
                <w:szCs w:val="24"/>
              </w:rPr>
            </w:pPr>
            <w:r w:rsidRPr="001E192F">
              <w:rPr>
                <w:color w:val="000000"/>
                <w:szCs w:val="24"/>
              </w:rPr>
              <w:t>(-4.764)</w:t>
            </w:r>
          </w:p>
        </w:tc>
      </w:tr>
      <w:tr w:rsidR="00660329" w:rsidRPr="001E192F" w14:paraId="703B0D7E" w14:textId="77777777" w:rsidTr="00A01EE9">
        <w:trPr>
          <w:trHeight w:val="276"/>
        </w:trPr>
        <w:tc>
          <w:tcPr>
            <w:tcW w:w="1545" w:type="dxa"/>
          </w:tcPr>
          <w:p w14:paraId="3BAC572D" w14:textId="77777777" w:rsidR="004633E6" w:rsidRPr="001E192F" w:rsidRDefault="004633E6" w:rsidP="009A2C29">
            <w:pPr>
              <w:pStyle w:val="TableBody"/>
              <w:rPr>
                <w:szCs w:val="24"/>
              </w:rPr>
            </w:pPr>
          </w:p>
        </w:tc>
        <w:tc>
          <w:tcPr>
            <w:tcW w:w="1545" w:type="dxa"/>
            <w:vAlign w:val="bottom"/>
          </w:tcPr>
          <w:p w14:paraId="5D9935E2" w14:textId="77777777" w:rsidR="004633E6" w:rsidRPr="001E192F" w:rsidRDefault="004633E6" w:rsidP="009A2C29">
            <w:pPr>
              <w:pStyle w:val="TableBody"/>
              <w:rPr>
                <w:color w:val="000000"/>
                <w:szCs w:val="24"/>
              </w:rPr>
            </w:pPr>
          </w:p>
        </w:tc>
        <w:tc>
          <w:tcPr>
            <w:tcW w:w="1546" w:type="dxa"/>
            <w:vAlign w:val="bottom"/>
          </w:tcPr>
          <w:p w14:paraId="59B50574" w14:textId="77777777" w:rsidR="004633E6" w:rsidRPr="001E192F" w:rsidRDefault="004633E6" w:rsidP="009A2C29">
            <w:pPr>
              <w:pStyle w:val="TableBody"/>
              <w:rPr>
                <w:color w:val="000000"/>
                <w:szCs w:val="24"/>
              </w:rPr>
            </w:pPr>
          </w:p>
        </w:tc>
        <w:tc>
          <w:tcPr>
            <w:tcW w:w="1545" w:type="dxa"/>
            <w:vAlign w:val="bottom"/>
          </w:tcPr>
          <w:p w14:paraId="109F11A1" w14:textId="77777777" w:rsidR="004633E6" w:rsidRPr="001E192F" w:rsidRDefault="004633E6" w:rsidP="009A2C29">
            <w:pPr>
              <w:pStyle w:val="TableBody"/>
              <w:rPr>
                <w:color w:val="000000"/>
                <w:szCs w:val="24"/>
              </w:rPr>
            </w:pPr>
          </w:p>
        </w:tc>
        <w:tc>
          <w:tcPr>
            <w:tcW w:w="1546" w:type="dxa"/>
            <w:vAlign w:val="bottom"/>
          </w:tcPr>
          <w:p w14:paraId="417402D6" w14:textId="77777777" w:rsidR="004633E6" w:rsidRPr="001E192F" w:rsidRDefault="004633E6" w:rsidP="009A2C29">
            <w:pPr>
              <w:pStyle w:val="TableBody"/>
              <w:rPr>
                <w:color w:val="000000"/>
                <w:szCs w:val="24"/>
              </w:rPr>
            </w:pPr>
          </w:p>
        </w:tc>
        <w:tc>
          <w:tcPr>
            <w:tcW w:w="1545" w:type="dxa"/>
            <w:vAlign w:val="bottom"/>
          </w:tcPr>
          <w:p w14:paraId="1A9DB22C" w14:textId="77777777" w:rsidR="004633E6" w:rsidRPr="001E192F" w:rsidRDefault="004633E6" w:rsidP="009A2C29">
            <w:pPr>
              <w:pStyle w:val="TableBody"/>
              <w:rPr>
                <w:color w:val="000000"/>
                <w:szCs w:val="24"/>
              </w:rPr>
            </w:pPr>
          </w:p>
        </w:tc>
        <w:tc>
          <w:tcPr>
            <w:tcW w:w="1546" w:type="dxa"/>
            <w:vAlign w:val="bottom"/>
          </w:tcPr>
          <w:p w14:paraId="2EC90113" w14:textId="77777777" w:rsidR="004633E6" w:rsidRPr="001E192F" w:rsidRDefault="004633E6" w:rsidP="009A2C29">
            <w:pPr>
              <w:pStyle w:val="TableBody"/>
              <w:rPr>
                <w:color w:val="000000"/>
                <w:szCs w:val="24"/>
              </w:rPr>
            </w:pPr>
          </w:p>
        </w:tc>
      </w:tr>
      <w:tr w:rsidR="00660329" w:rsidRPr="001E192F" w14:paraId="78A30CFA" w14:textId="77777777" w:rsidTr="00A01EE9">
        <w:trPr>
          <w:trHeight w:val="276"/>
        </w:trPr>
        <w:tc>
          <w:tcPr>
            <w:tcW w:w="1545" w:type="dxa"/>
          </w:tcPr>
          <w:p w14:paraId="24818194" w14:textId="22399DE0" w:rsidR="00660329" w:rsidRPr="001E192F" w:rsidRDefault="00660329" w:rsidP="009A2C29">
            <w:pPr>
              <w:pStyle w:val="TableBody"/>
              <w:rPr>
                <w:szCs w:val="24"/>
              </w:rPr>
            </w:pPr>
            <w:r w:rsidRPr="001E192F">
              <w:rPr>
                <w:szCs w:val="24"/>
              </w:rPr>
              <w:t>Exclude</w:t>
            </w:r>
          </w:p>
        </w:tc>
        <w:tc>
          <w:tcPr>
            <w:tcW w:w="1545" w:type="dxa"/>
            <w:vAlign w:val="bottom"/>
          </w:tcPr>
          <w:p w14:paraId="1754C656" w14:textId="259FCBB3" w:rsidR="00660329" w:rsidRPr="001E192F" w:rsidRDefault="00660329" w:rsidP="009A2C29">
            <w:pPr>
              <w:pStyle w:val="TableBody"/>
              <w:rPr>
                <w:szCs w:val="24"/>
              </w:rPr>
            </w:pPr>
            <w:r w:rsidRPr="001E192F">
              <w:rPr>
                <w:color w:val="000000"/>
                <w:szCs w:val="24"/>
              </w:rPr>
              <w:t>0.052</w:t>
            </w:r>
          </w:p>
        </w:tc>
        <w:tc>
          <w:tcPr>
            <w:tcW w:w="1546" w:type="dxa"/>
            <w:vAlign w:val="bottom"/>
          </w:tcPr>
          <w:p w14:paraId="2A49943B" w14:textId="4F53506C" w:rsidR="00660329" w:rsidRPr="001E192F" w:rsidRDefault="00660329" w:rsidP="009A2C29">
            <w:pPr>
              <w:pStyle w:val="TableBody"/>
              <w:rPr>
                <w:szCs w:val="24"/>
              </w:rPr>
            </w:pPr>
            <w:r w:rsidRPr="001E192F">
              <w:rPr>
                <w:color w:val="000000"/>
                <w:szCs w:val="24"/>
              </w:rPr>
              <w:t>0.184***</w:t>
            </w:r>
          </w:p>
        </w:tc>
        <w:tc>
          <w:tcPr>
            <w:tcW w:w="1545" w:type="dxa"/>
            <w:vAlign w:val="bottom"/>
          </w:tcPr>
          <w:p w14:paraId="63C85DBE" w14:textId="3EE47A25" w:rsidR="00660329" w:rsidRPr="001E192F" w:rsidRDefault="00660329" w:rsidP="009A2C29">
            <w:pPr>
              <w:pStyle w:val="TableBody"/>
              <w:rPr>
                <w:szCs w:val="24"/>
              </w:rPr>
            </w:pPr>
            <w:r w:rsidRPr="001E192F">
              <w:rPr>
                <w:color w:val="000000"/>
                <w:szCs w:val="24"/>
              </w:rPr>
              <w:t>0.224***</w:t>
            </w:r>
          </w:p>
        </w:tc>
        <w:tc>
          <w:tcPr>
            <w:tcW w:w="1546" w:type="dxa"/>
            <w:vAlign w:val="bottom"/>
          </w:tcPr>
          <w:p w14:paraId="18C138B6" w14:textId="3E37B97D" w:rsidR="00660329" w:rsidRPr="001E192F" w:rsidRDefault="00660329" w:rsidP="009A2C29">
            <w:pPr>
              <w:pStyle w:val="TableBody"/>
              <w:rPr>
                <w:szCs w:val="24"/>
              </w:rPr>
            </w:pPr>
            <w:r w:rsidRPr="001E192F">
              <w:rPr>
                <w:color w:val="000000"/>
                <w:szCs w:val="24"/>
              </w:rPr>
              <w:t>0.007</w:t>
            </w:r>
          </w:p>
        </w:tc>
        <w:tc>
          <w:tcPr>
            <w:tcW w:w="1545" w:type="dxa"/>
            <w:vAlign w:val="bottom"/>
          </w:tcPr>
          <w:p w14:paraId="47A96D2B" w14:textId="28BB19AB" w:rsidR="00660329" w:rsidRPr="001E192F" w:rsidRDefault="00660329" w:rsidP="009A2C29">
            <w:pPr>
              <w:pStyle w:val="TableBody"/>
              <w:rPr>
                <w:szCs w:val="24"/>
              </w:rPr>
            </w:pPr>
            <w:r w:rsidRPr="001E192F">
              <w:rPr>
                <w:color w:val="000000"/>
                <w:szCs w:val="24"/>
              </w:rPr>
              <w:t>-0.709***</w:t>
            </w:r>
          </w:p>
        </w:tc>
        <w:tc>
          <w:tcPr>
            <w:tcW w:w="1546" w:type="dxa"/>
            <w:vAlign w:val="bottom"/>
          </w:tcPr>
          <w:p w14:paraId="49CDD64C" w14:textId="6D1677BB" w:rsidR="00660329" w:rsidRPr="001E192F" w:rsidRDefault="00660329" w:rsidP="009A2C29">
            <w:pPr>
              <w:pStyle w:val="TableBody"/>
              <w:rPr>
                <w:szCs w:val="24"/>
              </w:rPr>
            </w:pPr>
            <w:r w:rsidRPr="001E192F">
              <w:rPr>
                <w:color w:val="000000"/>
                <w:szCs w:val="24"/>
              </w:rPr>
              <w:t>-0.761***</w:t>
            </w:r>
          </w:p>
        </w:tc>
      </w:tr>
      <w:tr w:rsidR="00660329" w:rsidRPr="001E192F" w14:paraId="6D98FC70" w14:textId="77777777" w:rsidTr="00A01EE9">
        <w:trPr>
          <w:trHeight w:val="276"/>
        </w:trPr>
        <w:tc>
          <w:tcPr>
            <w:tcW w:w="1545" w:type="dxa"/>
          </w:tcPr>
          <w:p w14:paraId="2235DE30" w14:textId="20ACDA26" w:rsidR="00660329" w:rsidRPr="001E192F" w:rsidRDefault="00660329" w:rsidP="009A2C29">
            <w:pPr>
              <w:pStyle w:val="TableBody"/>
              <w:rPr>
                <w:szCs w:val="24"/>
              </w:rPr>
            </w:pPr>
            <w:r w:rsidRPr="001E192F">
              <w:rPr>
                <w:szCs w:val="24"/>
              </w:rPr>
              <w:t>&lt; $5</w:t>
            </w:r>
          </w:p>
        </w:tc>
        <w:tc>
          <w:tcPr>
            <w:tcW w:w="1545" w:type="dxa"/>
            <w:vAlign w:val="bottom"/>
          </w:tcPr>
          <w:p w14:paraId="0799AB96" w14:textId="15EB6700" w:rsidR="00660329" w:rsidRPr="001E192F" w:rsidRDefault="00660329" w:rsidP="009A2C29">
            <w:pPr>
              <w:pStyle w:val="TableBody"/>
              <w:rPr>
                <w:szCs w:val="24"/>
              </w:rPr>
            </w:pPr>
            <w:r w:rsidRPr="001E192F">
              <w:rPr>
                <w:color w:val="000000"/>
                <w:szCs w:val="24"/>
              </w:rPr>
              <w:t>(0.784)</w:t>
            </w:r>
          </w:p>
        </w:tc>
        <w:tc>
          <w:tcPr>
            <w:tcW w:w="1546" w:type="dxa"/>
            <w:vAlign w:val="bottom"/>
          </w:tcPr>
          <w:p w14:paraId="2D584C4C" w14:textId="2A04ED50" w:rsidR="00660329" w:rsidRPr="001E192F" w:rsidRDefault="00660329" w:rsidP="009A2C29">
            <w:pPr>
              <w:pStyle w:val="TableBody"/>
              <w:rPr>
                <w:szCs w:val="24"/>
              </w:rPr>
            </w:pPr>
            <w:r w:rsidRPr="001E192F">
              <w:rPr>
                <w:color w:val="000000"/>
                <w:szCs w:val="24"/>
              </w:rPr>
              <w:t>(2.752)</w:t>
            </w:r>
          </w:p>
        </w:tc>
        <w:tc>
          <w:tcPr>
            <w:tcW w:w="1545" w:type="dxa"/>
            <w:vAlign w:val="bottom"/>
          </w:tcPr>
          <w:p w14:paraId="2F73B8EE" w14:textId="171DF61B" w:rsidR="00660329" w:rsidRPr="001E192F" w:rsidRDefault="00660329" w:rsidP="009A2C29">
            <w:pPr>
              <w:pStyle w:val="TableBody"/>
              <w:rPr>
                <w:szCs w:val="24"/>
              </w:rPr>
            </w:pPr>
            <w:r w:rsidRPr="001E192F">
              <w:rPr>
                <w:color w:val="000000"/>
                <w:szCs w:val="24"/>
              </w:rPr>
              <w:t>(3.682)</w:t>
            </w:r>
          </w:p>
        </w:tc>
        <w:tc>
          <w:tcPr>
            <w:tcW w:w="1546" w:type="dxa"/>
            <w:vAlign w:val="bottom"/>
          </w:tcPr>
          <w:p w14:paraId="058A5A95" w14:textId="3AD0D505" w:rsidR="00660329" w:rsidRPr="001E192F" w:rsidRDefault="00660329" w:rsidP="009A2C29">
            <w:pPr>
              <w:pStyle w:val="TableBody"/>
              <w:rPr>
                <w:szCs w:val="24"/>
              </w:rPr>
            </w:pPr>
            <w:r w:rsidRPr="001E192F">
              <w:rPr>
                <w:color w:val="000000"/>
                <w:szCs w:val="24"/>
              </w:rPr>
              <w:t>(0.120)</w:t>
            </w:r>
          </w:p>
        </w:tc>
        <w:tc>
          <w:tcPr>
            <w:tcW w:w="1545" w:type="dxa"/>
            <w:vAlign w:val="bottom"/>
          </w:tcPr>
          <w:p w14:paraId="27C1AA9F" w14:textId="3AEAC65C" w:rsidR="00660329" w:rsidRPr="001E192F" w:rsidRDefault="00660329" w:rsidP="009A2C29">
            <w:pPr>
              <w:pStyle w:val="TableBody"/>
              <w:rPr>
                <w:szCs w:val="24"/>
              </w:rPr>
            </w:pPr>
            <w:r w:rsidRPr="001E192F">
              <w:rPr>
                <w:color w:val="000000"/>
                <w:szCs w:val="24"/>
              </w:rPr>
              <w:t>(-8.179)</w:t>
            </w:r>
          </w:p>
        </w:tc>
        <w:tc>
          <w:tcPr>
            <w:tcW w:w="1546" w:type="dxa"/>
            <w:vAlign w:val="bottom"/>
          </w:tcPr>
          <w:p w14:paraId="4BBB5AD8" w14:textId="350430D8" w:rsidR="00660329" w:rsidRPr="001E192F" w:rsidRDefault="00660329" w:rsidP="009A2C29">
            <w:pPr>
              <w:pStyle w:val="TableBody"/>
              <w:rPr>
                <w:szCs w:val="24"/>
              </w:rPr>
            </w:pPr>
            <w:r w:rsidRPr="001E192F">
              <w:rPr>
                <w:color w:val="000000"/>
                <w:szCs w:val="24"/>
              </w:rPr>
              <w:t>(-5.950)</w:t>
            </w:r>
          </w:p>
        </w:tc>
      </w:tr>
      <w:tr w:rsidR="00660329" w:rsidRPr="001E192F" w14:paraId="6F31032E" w14:textId="77777777" w:rsidTr="00A01EE9">
        <w:trPr>
          <w:trHeight w:val="276"/>
        </w:trPr>
        <w:tc>
          <w:tcPr>
            <w:tcW w:w="1545" w:type="dxa"/>
          </w:tcPr>
          <w:p w14:paraId="21194B14" w14:textId="77777777" w:rsidR="004633E6" w:rsidRPr="001E192F" w:rsidRDefault="004633E6" w:rsidP="009A2C29">
            <w:pPr>
              <w:pStyle w:val="TableBody"/>
              <w:rPr>
                <w:szCs w:val="24"/>
              </w:rPr>
            </w:pPr>
          </w:p>
        </w:tc>
        <w:tc>
          <w:tcPr>
            <w:tcW w:w="1545" w:type="dxa"/>
            <w:vAlign w:val="bottom"/>
          </w:tcPr>
          <w:p w14:paraId="6261F171" w14:textId="77777777" w:rsidR="004633E6" w:rsidRPr="001E192F" w:rsidRDefault="004633E6" w:rsidP="009A2C29">
            <w:pPr>
              <w:pStyle w:val="TableBody"/>
              <w:rPr>
                <w:color w:val="000000"/>
                <w:szCs w:val="24"/>
              </w:rPr>
            </w:pPr>
          </w:p>
        </w:tc>
        <w:tc>
          <w:tcPr>
            <w:tcW w:w="1546" w:type="dxa"/>
            <w:vAlign w:val="bottom"/>
          </w:tcPr>
          <w:p w14:paraId="62785836" w14:textId="77777777" w:rsidR="004633E6" w:rsidRPr="001E192F" w:rsidRDefault="004633E6" w:rsidP="009A2C29">
            <w:pPr>
              <w:pStyle w:val="TableBody"/>
              <w:rPr>
                <w:color w:val="000000"/>
                <w:szCs w:val="24"/>
              </w:rPr>
            </w:pPr>
          </w:p>
        </w:tc>
        <w:tc>
          <w:tcPr>
            <w:tcW w:w="1545" w:type="dxa"/>
            <w:vAlign w:val="bottom"/>
          </w:tcPr>
          <w:p w14:paraId="3DDCF97E" w14:textId="77777777" w:rsidR="004633E6" w:rsidRPr="001E192F" w:rsidRDefault="004633E6" w:rsidP="009A2C29">
            <w:pPr>
              <w:pStyle w:val="TableBody"/>
              <w:rPr>
                <w:color w:val="000000"/>
                <w:szCs w:val="24"/>
              </w:rPr>
            </w:pPr>
          </w:p>
        </w:tc>
        <w:tc>
          <w:tcPr>
            <w:tcW w:w="1546" w:type="dxa"/>
            <w:vAlign w:val="bottom"/>
          </w:tcPr>
          <w:p w14:paraId="615C2380" w14:textId="77777777" w:rsidR="004633E6" w:rsidRPr="001E192F" w:rsidRDefault="004633E6" w:rsidP="009A2C29">
            <w:pPr>
              <w:pStyle w:val="TableBody"/>
              <w:rPr>
                <w:color w:val="000000"/>
                <w:szCs w:val="24"/>
              </w:rPr>
            </w:pPr>
          </w:p>
        </w:tc>
        <w:tc>
          <w:tcPr>
            <w:tcW w:w="1545" w:type="dxa"/>
            <w:vAlign w:val="bottom"/>
          </w:tcPr>
          <w:p w14:paraId="26CABF57" w14:textId="77777777" w:rsidR="004633E6" w:rsidRPr="001E192F" w:rsidRDefault="004633E6" w:rsidP="009A2C29">
            <w:pPr>
              <w:pStyle w:val="TableBody"/>
              <w:rPr>
                <w:color w:val="000000"/>
                <w:szCs w:val="24"/>
              </w:rPr>
            </w:pPr>
          </w:p>
        </w:tc>
        <w:tc>
          <w:tcPr>
            <w:tcW w:w="1546" w:type="dxa"/>
            <w:vAlign w:val="bottom"/>
          </w:tcPr>
          <w:p w14:paraId="4B1B3E47" w14:textId="77777777" w:rsidR="004633E6" w:rsidRPr="001E192F" w:rsidRDefault="004633E6" w:rsidP="009A2C29">
            <w:pPr>
              <w:pStyle w:val="TableBody"/>
              <w:rPr>
                <w:color w:val="000000"/>
                <w:szCs w:val="24"/>
              </w:rPr>
            </w:pPr>
          </w:p>
        </w:tc>
      </w:tr>
      <w:tr w:rsidR="00660329" w:rsidRPr="001E192F" w14:paraId="06135AAD" w14:textId="77777777" w:rsidTr="00A01EE9">
        <w:trPr>
          <w:trHeight w:val="276"/>
        </w:trPr>
        <w:tc>
          <w:tcPr>
            <w:tcW w:w="1545" w:type="dxa"/>
          </w:tcPr>
          <w:p w14:paraId="4653F04D" w14:textId="579AD565" w:rsidR="00660329" w:rsidRPr="001E192F" w:rsidRDefault="00660329" w:rsidP="009A2C29">
            <w:pPr>
              <w:pStyle w:val="TableBody"/>
              <w:rPr>
                <w:szCs w:val="24"/>
              </w:rPr>
            </w:pPr>
            <w:r w:rsidRPr="001E192F">
              <w:rPr>
                <w:szCs w:val="24"/>
              </w:rPr>
              <w:t xml:space="preserve">Exclude </w:t>
            </w:r>
          </w:p>
        </w:tc>
        <w:tc>
          <w:tcPr>
            <w:tcW w:w="1545" w:type="dxa"/>
            <w:vAlign w:val="bottom"/>
          </w:tcPr>
          <w:p w14:paraId="1D3685BA" w14:textId="0F54B785" w:rsidR="00660329" w:rsidRPr="001E192F" w:rsidRDefault="00660329" w:rsidP="009A2C29">
            <w:pPr>
              <w:pStyle w:val="TableBody"/>
              <w:rPr>
                <w:szCs w:val="24"/>
              </w:rPr>
            </w:pPr>
            <w:r w:rsidRPr="001E192F">
              <w:rPr>
                <w:color w:val="000000"/>
                <w:szCs w:val="24"/>
              </w:rPr>
              <w:t>0.018</w:t>
            </w:r>
          </w:p>
        </w:tc>
        <w:tc>
          <w:tcPr>
            <w:tcW w:w="1546" w:type="dxa"/>
            <w:vAlign w:val="bottom"/>
          </w:tcPr>
          <w:p w14:paraId="4FB4FC8C" w14:textId="6BFD643E" w:rsidR="00660329" w:rsidRPr="001E192F" w:rsidRDefault="00660329" w:rsidP="009A2C29">
            <w:pPr>
              <w:pStyle w:val="TableBody"/>
              <w:rPr>
                <w:szCs w:val="24"/>
              </w:rPr>
            </w:pPr>
            <w:r w:rsidRPr="001E192F">
              <w:rPr>
                <w:color w:val="000000"/>
                <w:szCs w:val="24"/>
              </w:rPr>
              <w:t>0.124*</w:t>
            </w:r>
          </w:p>
        </w:tc>
        <w:tc>
          <w:tcPr>
            <w:tcW w:w="1545" w:type="dxa"/>
            <w:vAlign w:val="bottom"/>
          </w:tcPr>
          <w:p w14:paraId="6D4967BD" w14:textId="383EEBC0" w:rsidR="00660329" w:rsidRPr="001E192F" w:rsidRDefault="00660329" w:rsidP="009A2C29">
            <w:pPr>
              <w:pStyle w:val="TableBody"/>
              <w:rPr>
                <w:szCs w:val="24"/>
              </w:rPr>
            </w:pPr>
            <w:r w:rsidRPr="001E192F">
              <w:rPr>
                <w:color w:val="000000"/>
                <w:szCs w:val="24"/>
              </w:rPr>
              <w:t>0.198***</w:t>
            </w:r>
          </w:p>
        </w:tc>
        <w:tc>
          <w:tcPr>
            <w:tcW w:w="1546" w:type="dxa"/>
            <w:vAlign w:val="bottom"/>
          </w:tcPr>
          <w:p w14:paraId="341DB88B" w14:textId="19966EF6" w:rsidR="00660329" w:rsidRPr="001E192F" w:rsidRDefault="00660329" w:rsidP="009A2C29">
            <w:pPr>
              <w:pStyle w:val="TableBody"/>
              <w:rPr>
                <w:szCs w:val="24"/>
              </w:rPr>
            </w:pPr>
            <w:r w:rsidRPr="001E192F">
              <w:rPr>
                <w:color w:val="000000"/>
                <w:szCs w:val="24"/>
              </w:rPr>
              <w:t>0.100</w:t>
            </w:r>
          </w:p>
        </w:tc>
        <w:tc>
          <w:tcPr>
            <w:tcW w:w="1545" w:type="dxa"/>
            <w:vAlign w:val="bottom"/>
          </w:tcPr>
          <w:p w14:paraId="733D8223" w14:textId="101A5B8F" w:rsidR="00660329" w:rsidRPr="001E192F" w:rsidRDefault="00660329" w:rsidP="009A2C29">
            <w:pPr>
              <w:pStyle w:val="TableBody"/>
              <w:rPr>
                <w:szCs w:val="24"/>
              </w:rPr>
            </w:pPr>
            <w:r w:rsidRPr="001E192F">
              <w:rPr>
                <w:color w:val="000000"/>
                <w:szCs w:val="24"/>
              </w:rPr>
              <w:t>-0.243**</w:t>
            </w:r>
          </w:p>
        </w:tc>
        <w:tc>
          <w:tcPr>
            <w:tcW w:w="1546" w:type="dxa"/>
            <w:vAlign w:val="bottom"/>
          </w:tcPr>
          <w:p w14:paraId="19B66A29" w14:textId="055DE1E1" w:rsidR="00660329" w:rsidRPr="001E192F" w:rsidRDefault="00660329" w:rsidP="009A2C29">
            <w:pPr>
              <w:pStyle w:val="TableBody"/>
              <w:rPr>
                <w:szCs w:val="24"/>
              </w:rPr>
            </w:pPr>
            <w:r w:rsidRPr="001E192F">
              <w:rPr>
                <w:color w:val="000000"/>
                <w:szCs w:val="24"/>
              </w:rPr>
              <w:t>-0.260*</w:t>
            </w:r>
          </w:p>
        </w:tc>
      </w:tr>
      <w:tr w:rsidR="00660329" w:rsidRPr="001E192F" w14:paraId="61F1595C" w14:textId="77777777" w:rsidTr="00A01EE9">
        <w:trPr>
          <w:trHeight w:val="276"/>
        </w:trPr>
        <w:tc>
          <w:tcPr>
            <w:tcW w:w="1545" w:type="dxa"/>
          </w:tcPr>
          <w:p w14:paraId="2F8A3FAB" w14:textId="2038088D" w:rsidR="00660329" w:rsidRPr="001E192F" w:rsidRDefault="00660329" w:rsidP="009A2C29">
            <w:pPr>
              <w:pStyle w:val="TableBody"/>
              <w:rPr>
                <w:szCs w:val="24"/>
              </w:rPr>
            </w:pPr>
            <w:r w:rsidRPr="001E192F">
              <w:rPr>
                <w:szCs w:val="24"/>
              </w:rPr>
              <w:t>&lt; $10</w:t>
            </w:r>
          </w:p>
        </w:tc>
        <w:tc>
          <w:tcPr>
            <w:tcW w:w="1545" w:type="dxa"/>
            <w:vAlign w:val="bottom"/>
          </w:tcPr>
          <w:p w14:paraId="65B94C06" w14:textId="427BA51A" w:rsidR="00660329" w:rsidRPr="001E192F" w:rsidRDefault="00660329" w:rsidP="009A2C29">
            <w:pPr>
              <w:pStyle w:val="TableBody"/>
              <w:rPr>
                <w:szCs w:val="24"/>
              </w:rPr>
            </w:pPr>
            <w:r w:rsidRPr="001E192F">
              <w:rPr>
                <w:color w:val="000000"/>
                <w:szCs w:val="24"/>
              </w:rPr>
              <w:t>(0.247)</w:t>
            </w:r>
          </w:p>
        </w:tc>
        <w:tc>
          <w:tcPr>
            <w:tcW w:w="1546" w:type="dxa"/>
            <w:vAlign w:val="bottom"/>
          </w:tcPr>
          <w:p w14:paraId="10A67845" w14:textId="045E2755" w:rsidR="00660329" w:rsidRPr="001E192F" w:rsidRDefault="00660329" w:rsidP="009A2C29">
            <w:pPr>
              <w:pStyle w:val="TableBody"/>
              <w:rPr>
                <w:szCs w:val="24"/>
              </w:rPr>
            </w:pPr>
            <w:r w:rsidRPr="001E192F">
              <w:rPr>
                <w:color w:val="000000"/>
                <w:szCs w:val="24"/>
              </w:rPr>
              <w:t>(1.765)</w:t>
            </w:r>
          </w:p>
        </w:tc>
        <w:tc>
          <w:tcPr>
            <w:tcW w:w="1545" w:type="dxa"/>
            <w:vAlign w:val="bottom"/>
          </w:tcPr>
          <w:p w14:paraId="5D60ACBB" w14:textId="437C060F" w:rsidR="00660329" w:rsidRPr="001E192F" w:rsidRDefault="00660329" w:rsidP="009A2C29">
            <w:pPr>
              <w:pStyle w:val="TableBody"/>
              <w:rPr>
                <w:szCs w:val="24"/>
              </w:rPr>
            </w:pPr>
            <w:r w:rsidRPr="001E192F">
              <w:rPr>
                <w:color w:val="000000"/>
                <w:szCs w:val="24"/>
              </w:rPr>
              <w:t>(2.694)</w:t>
            </w:r>
          </w:p>
        </w:tc>
        <w:tc>
          <w:tcPr>
            <w:tcW w:w="1546" w:type="dxa"/>
            <w:vAlign w:val="bottom"/>
          </w:tcPr>
          <w:p w14:paraId="60CF6E94" w14:textId="33A5B8BB" w:rsidR="00660329" w:rsidRPr="001E192F" w:rsidRDefault="00660329" w:rsidP="009A2C29">
            <w:pPr>
              <w:pStyle w:val="TableBody"/>
              <w:rPr>
                <w:szCs w:val="24"/>
              </w:rPr>
            </w:pPr>
            <w:r w:rsidRPr="001E192F">
              <w:rPr>
                <w:color w:val="000000"/>
                <w:szCs w:val="24"/>
              </w:rPr>
              <w:t>(1.349)</w:t>
            </w:r>
          </w:p>
        </w:tc>
        <w:tc>
          <w:tcPr>
            <w:tcW w:w="1545" w:type="dxa"/>
            <w:vAlign w:val="bottom"/>
          </w:tcPr>
          <w:p w14:paraId="10D20C25" w14:textId="33F6E7F0" w:rsidR="00660329" w:rsidRPr="001E192F" w:rsidRDefault="00660329" w:rsidP="009A2C29">
            <w:pPr>
              <w:pStyle w:val="TableBody"/>
              <w:rPr>
                <w:szCs w:val="24"/>
              </w:rPr>
            </w:pPr>
            <w:r w:rsidRPr="001E192F">
              <w:rPr>
                <w:color w:val="000000"/>
                <w:szCs w:val="24"/>
              </w:rPr>
              <w:t>(-1.969)</w:t>
            </w:r>
          </w:p>
        </w:tc>
        <w:tc>
          <w:tcPr>
            <w:tcW w:w="1546" w:type="dxa"/>
            <w:vAlign w:val="bottom"/>
          </w:tcPr>
          <w:p w14:paraId="65289BE4" w14:textId="2536D842" w:rsidR="00660329" w:rsidRPr="001E192F" w:rsidRDefault="00660329" w:rsidP="009A2C29">
            <w:pPr>
              <w:pStyle w:val="TableBody"/>
              <w:rPr>
                <w:szCs w:val="24"/>
              </w:rPr>
            </w:pPr>
            <w:r w:rsidRPr="001E192F">
              <w:rPr>
                <w:color w:val="000000"/>
                <w:szCs w:val="24"/>
              </w:rPr>
              <w:t>(-1.844)</w:t>
            </w:r>
          </w:p>
        </w:tc>
      </w:tr>
      <w:tr w:rsidR="00660329" w:rsidRPr="001E192F" w14:paraId="0D9893C7" w14:textId="77777777" w:rsidTr="00A01EE9">
        <w:trPr>
          <w:trHeight w:val="276"/>
        </w:trPr>
        <w:tc>
          <w:tcPr>
            <w:tcW w:w="1545" w:type="dxa"/>
          </w:tcPr>
          <w:p w14:paraId="02FE0EF8" w14:textId="77777777" w:rsidR="004633E6" w:rsidRPr="001E192F" w:rsidRDefault="004633E6" w:rsidP="009A2C29">
            <w:pPr>
              <w:pStyle w:val="TableBody"/>
              <w:rPr>
                <w:szCs w:val="24"/>
              </w:rPr>
            </w:pPr>
          </w:p>
        </w:tc>
        <w:tc>
          <w:tcPr>
            <w:tcW w:w="1545" w:type="dxa"/>
            <w:vAlign w:val="bottom"/>
          </w:tcPr>
          <w:p w14:paraId="6790ECD3" w14:textId="77777777" w:rsidR="004633E6" w:rsidRPr="001E192F" w:rsidRDefault="004633E6" w:rsidP="009A2C29">
            <w:pPr>
              <w:pStyle w:val="TableBody"/>
              <w:rPr>
                <w:color w:val="000000"/>
                <w:szCs w:val="24"/>
              </w:rPr>
            </w:pPr>
          </w:p>
        </w:tc>
        <w:tc>
          <w:tcPr>
            <w:tcW w:w="1546" w:type="dxa"/>
            <w:vAlign w:val="bottom"/>
          </w:tcPr>
          <w:p w14:paraId="3DDA455A" w14:textId="77777777" w:rsidR="004633E6" w:rsidRPr="001E192F" w:rsidRDefault="004633E6" w:rsidP="009A2C29">
            <w:pPr>
              <w:pStyle w:val="TableBody"/>
              <w:rPr>
                <w:color w:val="000000"/>
                <w:szCs w:val="24"/>
              </w:rPr>
            </w:pPr>
          </w:p>
        </w:tc>
        <w:tc>
          <w:tcPr>
            <w:tcW w:w="1545" w:type="dxa"/>
            <w:vAlign w:val="bottom"/>
          </w:tcPr>
          <w:p w14:paraId="79A37159" w14:textId="77777777" w:rsidR="004633E6" w:rsidRPr="001E192F" w:rsidRDefault="004633E6" w:rsidP="009A2C29">
            <w:pPr>
              <w:pStyle w:val="TableBody"/>
              <w:rPr>
                <w:color w:val="000000"/>
                <w:szCs w:val="24"/>
              </w:rPr>
            </w:pPr>
          </w:p>
        </w:tc>
        <w:tc>
          <w:tcPr>
            <w:tcW w:w="1546" w:type="dxa"/>
            <w:vAlign w:val="bottom"/>
          </w:tcPr>
          <w:p w14:paraId="0E405381" w14:textId="77777777" w:rsidR="004633E6" w:rsidRPr="001E192F" w:rsidRDefault="004633E6" w:rsidP="009A2C29">
            <w:pPr>
              <w:pStyle w:val="TableBody"/>
              <w:rPr>
                <w:color w:val="000000"/>
                <w:szCs w:val="24"/>
              </w:rPr>
            </w:pPr>
          </w:p>
        </w:tc>
        <w:tc>
          <w:tcPr>
            <w:tcW w:w="1545" w:type="dxa"/>
            <w:vAlign w:val="bottom"/>
          </w:tcPr>
          <w:p w14:paraId="54D02C31" w14:textId="77777777" w:rsidR="004633E6" w:rsidRPr="001E192F" w:rsidRDefault="004633E6" w:rsidP="009A2C29">
            <w:pPr>
              <w:pStyle w:val="TableBody"/>
              <w:rPr>
                <w:color w:val="000000"/>
                <w:szCs w:val="24"/>
              </w:rPr>
            </w:pPr>
          </w:p>
        </w:tc>
        <w:tc>
          <w:tcPr>
            <w:tcW w:w="1546" w:type="dxa"/>
            <w:vAlign w:val="bottom"/>
          </w:tcPr>
          <w:p w14:paraId="513C33B5" w14:textId="77777777" w:rsidR="004633E6" w:rsidRPr="001E192F" w:rsidRDefault="004633E6" w:rsidP="009A2C29">
            <w:pPr>
              <w:pStyle w:val="TableBody"/>
              <w:rPr>
                <w:color w:val="000000"/>
                <w:szCs w:val="24"/>
              </w:rPr>
            </w:pPr>
          </w:p>
        </w:tc>
      </w:tr>
      <w:tr w:rsidR="00660329" w:rsidRPr="001E192F" w14:paraId="2131B044" w14:textId="77777777" w:rsidTr="00A01EE9">
        <w:trPr>
          <w:trHeight w:val="276"/>
        </w:trPr>
        <w:tc>
          <w:tcPr>
            <w:tcW w:w="1545" w:type="dxa"/>
          </w:tcPr>
          <w:p w14:paraId="3169F7C9" w14:textId="77777777" w:rsidR="00660329" w:rsidRPr="001E192F" w:rsidRDefault="00660329" w:rsidP="009A2C29">
            <w:pPr>
              <w:pStyle w:val="TableBody"/>
              <w:rPr>
                <w:szCs w:val="24"/>
              </w:rPr>
            </w:pPr>
            <w:r w:rsidRPr="001E192F">
              <w:rPr>
                <w:szCs w:val="24"/>
              </w:rPr>
              <w:t>NYSE Break-</w:t>
            </w:r>
          </w:p>
        </w:tc>
        <w:tc>
          <w:tcPr>
            <w:tcW w:w="1545" w:type="dxa"/>
            <w:vAlign w:val="bottom"/>
          </w:tcPr>
          <w:p w14:paraId="4953A03A" w14:textId="1EF3338A" w:rsidR="00660329" w:rsidRPr="001E192F" w:rsidRDefault="00660329" w:rsidP="009A2C29">
            <w:pPr>
              <w:pStyle w:val="TableBody"/>
              <w:rPr>
                <w:szCs w:val="24"/>
              </w:rPr>
            </w:pPr>
            <w:r w:rsidRPr="001E192F">
              <w:rPr>
                <w:color w:val="000000"/>
                <w:szCs w:val="24"/>
              </w:rPr>
              <w:t>0.034</w:t>
            </w:r>
          </w:p>
        </w:tc>
        <w:tc>
          <w:tcPr>
            <w:tcW w:w="1546" w:type="dxa"/>
            <w:vAlign w:val="bottom"/>
          </w:tcPr>
          <w:p w14:paraId="2836B27B" w14:textId="5121FBE5" w:rsidR="00660329" w:rsidRPr="001E192F" w:rsidRDefault="00660329" w:rsidP="009A2C29">
            <w:pPr>
              <w:pStyle w:val="TableBody"/>
              <w:rPr>
                <w:szCs w:val="24"/>
              </w:rPr>
            </w:pPr>
            <w:r w:rsidRPr="001E192F">
              <w:rPr>
                <w:color w:val="000000"/>
                <w:szCs w:val="24"/>
              </w:rPr>
              <w:t>0.107</w:t>
            </w:r>
          </w:p>
        </w:tc>
        <w:tc>
          <w:tcPr>
            <w:tcW w:w="1545" w:type="dxa"/>
            <w:vAlign w:val="bottom"/>
          </w:tcPr>
          <w:p w14:paraId="5569D141" w14:textId="0C2DA3F5" w:rsidR="00660329" w:rsidRPr="001E192F" w:rsidRDefault="00660329" w:rsidP="009A2C29">
            <w:pPr>
              <w:pStyle w:val="TableBody"/>
              <w:rPr>
                <w:szCs w:val="24"/>
              </w:rPr>
            </w:pPr>
            <w:r w:rsidRPr="001E192F">
              <w:rPr>
                <w:color w:val="000000"/>
                <w:szCs w:val="24"/>
              </w:rPr>
              <w:t>0.192***</w:t>
            </w:r>
          </w:p>
        </w:tc>
        <w:tc>
          <w:tcPr>
            <w:tcW w:w="1546" w:type="dxa"/>
            <w:vAlign w:val="bottom"/>
          </w:tcPr>
          <w:p w14:paraId="578D89C5" w14:textId="32F75AF5" w:rsidR="00660329" w:rsidRPr="001E192F" w:rsidRDefault="00660329" w:rsidP="009A2C29">
            <w:pPr>
              <w:pStyle w:val="TableBody"/>
              <w:rPr>
                <w:szCs w:val="24"/>
              </w:rPr>
            </w:pPr>
            <w:r w:rsidRPr="001E192F">
              <w:rPr>
                <w:color w:val="000000"/>
                <w:szCs w:val="24"/>
              </w:rPr>
              <w:t>0.095</w:t>
            </w:r>
          </w:p>
        </w:tc>
        <w:tc>
          <w:tcPr>
            <w:tcW w:w="1545" w:type="dxa"/>
            <w:vAlign w:val="bottom"/>
          </w:tcPr>
          <w:p w14:paraId="6BEB3EA1" w14:textId="1BD7D0F1" w:rsidR="00660329" w:rsidRPr="001E192F" w:rsidRDefault="00660329" w:rsidP="009A2C29">
            <w:pPr>
              <w:pStyle w:val="TableBody"/>
              <w:rPr>
                <w:szCs w:val="24"/>
              </w:rPr>
            </w:pPr>
            <w:r w:rsidRPr="001E192F">
              <w:rPr>
                <w:color w:val="000000"/>
                <w:szCs w:val="24"/>
              </w:rPr>
              <w:t>-0.249**</w:t>
            </w:r>
          </w:p>
        </w:tc>
        <w:tc>
          <w:tcPr>
            <w:tcW w:w="1546" w:type="dxa"/>
            <w:vAlign w:val="bottom"/>
          </w:tcPr>
          <w:p w14:paraId="3ACE8E31" w14:textId="1D0E4CFE" w:rsidR="00660329" w:rsidRPr="001E192F" w:rsidRDefault="00660329" w:rsidP="009A2C29">
            <w:pPr>
              <w:pStyle w:val="TableBody"/>
              <w:rPr>
                <w:szCs w:val="24"/>
              </w:rPr>
            </w:pPr>
            <w:r w:rsidRPr="001E192F">
              <w:rPr>
                <w:color w:val="000000"/>
                <w:szCs w:val="24"/>
              </w:rPr>
              <w:t>-0.282**</w:t>
            </w:r>
          </w:p>
        </w:tc>
      </w:tr>
      <w:tr w:rsidR="00660329" w:rsidRPr="001E192F" w14:paraId="6197A1A4" w14:textId="77777777" w:rsidTr="00A01EE9">
        <w:trPr>
          <w:trHeight w:val="276"/>
        </w:trPr>
        <w:tc>
          <w:tcPr>
            <w:tcW w:w="1545" w:type="dxa"/>
          </w:tcPr>
          <w:p w14:paraId="0A43D89A" w14:textId="77777777" w:rsidR="00660329" w:rsidRPr="001E192F" w:rsidRDefault="00660329" w:rsidP="009A2C29">
            <w:pPr>
              <w:pStyle w:val="TableBody"/>
              <w:rPr>
                <w:szCs w:val="24"/>
              </w:rPr>
            </w:pPr>
            <w:r w:rsidRPr="001E192F">
              <w:rPr>
                <w:szCs w:val="24"/>
              </w:rPr>
              <w:t>Points</w:t>
            </w:r>
          </w:p>
        </w:tc>
        <w:tc>
          <w:tcPr>
            <w:tcW w:w="1545" w:type="dxa"/>
            <w:vAlign w:val="bottom"/>
          </w:tcPr>
          <w:p w14:paraId="67D952C0" w14:textId="18DF0F0B" w:rsidR="00660329" w:rsidRPr="001E192F" w:rsidRDefault="00660329" w:rsidP="009A2C29">
            <w:pPr>
              <w:pStyle w:val="TableBody"/>
              <w:rPr>
                <w:szCs w:val="24"/>
              </w:rPr>
            </w:pPr>
            <w:r w:rsidRPr="001E192F">
              <w:rPr>
                <w:color w:val="000000"/>
                <w:szCs w:val="24"/>
              </w:rPr>
              <w:t>(0.458)</w:t>
            </w:r>
          </w:p>
        </w:tc>
        <w:tc>
          <w:tcPr>
            <w:tcW w:w="1546" w:type="dxa"/>
            <w:vAlign w:val="bottom"/>
          </w:tcPr>
          <w:p w14:paraId="1748828B" w14:textId="79D4AC31" w:rsidR="00660329" w:rsidRPr="001E192F" w:rsidRDefault="00660329" w:rsidP="009A2C29">
            <w:pPr>
              <w:pStyle w:val="TableBody"/>
              <w:rPr>
                <w:szCs w:val="24"/>
              </w:rPr>
            </w:pPr>
            <w:r w:rsidRPr="001E192F">
              <w:rPr>
                <w:color w:val="000000"/>
                <w:szCs w:val="24"/>
              </w:rPr>
              <w:t>(1.505)</w:t>
            </w:r>
          </w:p>
        </w:tc>
        <w:tc>
          <w:tcPr>
            <w:tcW w:w="1545" w:type="dxa"/>
            <w:vAlign w:val="bottom"/>
          </w:tcPr>
          <w:p w14:paraId="53C4CC76" w14:textId="72E89998" w:rsidR="00660329" w:rsidRPr="001E192F" w:rsidRDefault="00660329" w:rsidP="009A2C29">
            <w:pPr>
              <w:pStyle w:val="TableBody"/>
              <w:rPr>
                <w:szCs w:val="24"/>
              </w:rPr>
            </w:pPr>
            <w:r w:rsidRPr="001E192F">
              <w:rPr>
                <w:color w:val="000000"/>
                <w:szCs w:val="24"/>
              </w:rPr>
              <w:t>(2.626)</w:t>
            </w:r>
          </w:p>
        </w:tc>
        <w:tc>
          <w:tcPr>
            <w:tcW w:w="1546" w:type="dxa"/>
            <w:vAlign w:val="bottom"/>
          </w:tcPr>
          <w:p w14:paraId="3FE4AD06" w14:textId="5D4D0339" w:rsidR="00660329" w:rsidRPr="001E192F" w:rsidRDefault="00660329" w:rsidP="009A2C29">
            <w:pPr>
              <w:pStyle w:val="TableBody"/>
              <w:rPr>
                <w:szCs w:val="24"/>
              </w:rPr>
            </w:pPr>
            <w:r w:rsidRPr="001E192F">
              <w:rPr>
                <w:color w:val="000000"/>
                <w:szCs w:val="24"/>
              </w:rPr>
              <w:t>(1.266)</w:t>
            </w:r>
          </w:p>
        </w:tc>
        <w:tc>
          <w:tcPr>
            <w:tcW w:w="1545" w:type="dxa"/>
            <w:vAlign w:val="bottom"/>
          </w:tcPr>
          <w:p w14:paraId="42CE9712" w14:textId="7C24F0B9" w:rsidR="00660329" w:rsidRPr="001E192F" w:rsidRDefault="00660329" w:rsidP="009A2C29">
            <w:pPr>
              <w:pStyle w:val="TableBody"/>
              <w:rPr>
                <w:szCs w:val="24"/>
              </w:rPr>
            </w:pPr>
            <w:r w:rsidRPr="001E192F">
              <w:rPr>
                <w:color w:val="000000"/>
                <w:szCs w:val="24"/>
              </w:rPr>
              <w:t>(-1.981)</w:t>
            </w:r>
          </w:p>
        </w:tc>
        <w:tc>
          <w:tcPr>
            <w:tcW w:w="1546" w:type="dxa"/>
            <w:vAlign w:val="bottom"/>
          </w:tcPr>
          <w:p w14:paraId="0A8669DB" w14:textId="4F4C9865" w:rsidR="00660329" w:rsidRPr="001E192F" w:rsidRDefault="00660329" w:rsidP="009A2C29">
            <w:pPr>
              <w:pStyle w:val="TableBody"/>
              <w:rPr>
                <w:szCs w:val="24"/>
              </w:rPr>
            </w:pPr>
            <w:r w:rsidRPr="001E192F">
              <w:rPr>
                <w:color w:val="000000"/>
                <w:szCs w:val="24"/>
              </w:rPr>
              <w:t>(-1.994)</w:t>
            </w:r>
          </w:p>
        </w:tc>
      </w:tr>
      <w:tr w:rsidR="00660329" w:rsidRPr="001E192F" w14:paraId="5160C2BA" w14:textId="77777777" w:rsidTr="00A01EE9">
        <w:trPr>
          <w:trHeight w:val="276"/>
        </w:trPr>
        <w:tc>
          <w:tcPr>
            <w:tcW w:w="1545" w:type="dxa"/>
          </w:tcPr>
          <w:p w14:paraId="1120FB6E" w14:textId="77777777" w:rsidR="004633E6" w:rsidRPr="001E192F" w:rsidRDefault="004633E6" w:rsidP="009A2C29">
            <w:pPr>
              <w:pStyle w:val="TableBody"/>
              <w:rPr>
                <w:szCs w:val="24"/>
              </w:rPr>
            </w:pPr>
          </w:p>
        </w:tc>
        <w:tc>
          <w:tcPr>
            <w:tcW w:w="1545" w:type="dxa"/>
            <w:vAlign w:val="bottom"/>
          </w:tcPr>
          <w:p w14:paraId="395A5F30" w14:textId="77777777" w:rsidR="004633E6" w:rsidRPr="001E192F" w:rsidRDefault="004633E6" w:rsidP="009A2C29">
            <w:pPr>
              <w:pStyle w:val="TableBody"/>
              <w:rPr>
                <w:color w:val="000000"/>
                <w:szCs w:val="24"/>
              </w:rPr>
            </w:pPr>
          </w:p>
        </w:tc>
        <w:tc>
          <w:tcPr>
            <w:tcW w:w="1546" w:type="dxa"/>
            <w:vAlign w:val="bottom"/>
          </w:tcPr>
          <w:p w14:paraId="5B027F11" w14:textId="77777777" w:rsidR="004633E6" w:rsidRPr="001E192F" w:rsidRDefault="004633E6" w:rsidP="009A2C29">
            <w:pPr>
              <w:pStyle w:val="TableBody"/>
              <w:rPr>
                <w:color w:val="000000"/>
                <w:szCs w:val="24"/>
              </w:rPr>
            </w:pPr>
          </w:p>
        </w:tc>
        <w:tc>
          <w:tcPr>
            <w:tcW w:w="1545" w:type="dxa"/>
            <w:vAlign w:val="bottom"/>
          </w:tcPr>
          <w:p w14:paraId="09D185B9" w14:textId="77777777" w:rsidR="004633E6" w:rsidRPr="001E192F" w:rsidRDefault="004633E6" w:rsidP="009A2C29">
            <w:pPr>
              <w:pStyle w:val="TableBody"/>
              <w:rPr>
                <w:color w:val="000000"/>
                <w:szCs w:val="24"/>
              </w:rPr>
            </w:pPr>
          </w:p>
        </w:tc>
        <w:tc>
          <w:tcPr>
            <w:tcW w:w="1546" w:type="dxa"/>
            <w:vAlign w:val="bottom"/>
          </w:tcPr>
          <w:p w14:paraId="4603B5D1" w14:textId="77777777" w:rsidR="004633E6" w:rsidRPr="001E192F" w:rsidRDefault="004633E6" w:rsidP="009A2C29">
            <w:pPr>
              <w:pStyle w:val="TableBody"/>
              <w:rPr>
                <w:color w:val="000000"/>
                <w:szCs w:val="24"/>
              </w:rPr>
            </w:pPr>
          </w:p>
        </w:tc>
        <w:tc>
          <w:tcPr>
            <w:tcW w:w="1545" w:type="dxa"/>
            <w:vAlign w:val="bottom"/>
          </w:tcPr>
          <w:p w14:paraId="1762E1D4" w14:textId="77777777" w:rsidR="004633E6" w:rsidRPr="001E192F" w:rsidRDefault="004633E6" w:rsidP="009A2C29">
            <w:pPr>
              <w:pStyle w:val="TableBody"/>
              <w:rPr>
                <w:color w:val="000000"/>
                <w:szCs w:val="24"/>
              </w:rPr>
            </w:pPr>
          </w:p>
        </w:tc>
        <w:tc>
          <w:tcPr>
            <w:tcW w:w="1546" w:type="dxa"/>
            <w:vAlign w:val="bottom"/>
          </w:tcPr>
          <w:p w14:paraId="477E3FC2" w14:textId="77777777" w:rsidR="004633E6" w:rsidRPr="001E192F" w:rsidRDefault="004633E6" w:rsidP="009A2C29">
            <w:pPr>
              <w:pStyle w:val="TableBody"/>
              <w:rPr>
                <w:color w:val="000000"/>
                <w:szCs w:val="24"/>
              </w:rPr>
            </w:pPr>
          </w:p>
        </w:tc>
      </w:tr>
      <w:tr w:rsidR="00660329" w:rsidRPr="001E192F" w14:paraId="300BB055" w14:textId="77777777" w:rsidTr="00A01EE9">
        <w:trPr>
          <w:trHeight w:val="276"/>
        </w:trPr>
        <w:tc>
          <w:tcPr>
            <w:tcW w:w="1545" w:type="dxa"/>
          </w:tcPr>
          <w:p w14:paraId="081B3DD4" w14:textId="77777777" w:rsidR="00660329" w:rsidRPr="001E192F" w:rsidRDefault="00660329" w:rsidP="009A2C29">
            <w:pPr>
              <w:pStyle w:val="TableBody"/>
              <w:rPr>
                <w:szCs w:val="24"/>
              </w:rPr>
            </w:pPr>
            <w:r w:rsidRPr="001E192F">
              <w:rPr>
                <w:szCs w:val="24"/>
              </w:rPr>
              <w:t>Momentum</w:t>
            </w:r>
          </w:p>
        </w:tc>
        <w:tc>
          <w:tcPr>
            <w:tcW w:w="1545" w:type="dxa"/>
            <w:vAlign w:val="bottom"/>
          </w:tcPr>
          <w:p w14:paraId="181FA2D8" w14:textId="621BC4B7" w:rsidR="00660329" w:rsidRPr="001E192F" w:rsidRDefault="00660329" w:rsidP="009A2C29">
            <w:pPr>
              <w:pStyle w:val="TableBody"/>
              <w:rPr>
                <w:szCs w:val="24"/>
              </w:rPr>
            </w:pPr>
            <w:r w:rsidRPr="001E192F">
              <w:rPr>
                <w:color w:val="000000"/>
                <w:szCs w:val="24"/>
              </w:rPr>
              <w:t>0.166**</w:t>
            </w:r>
          </w:p>
        </w:tc>
        <w:tc>
          <w:tcPr>
            <w:tcW w:w="1546" w:type="dxa"/>
            <w:vAlign w:val="bottom"/>
          </w:tcPr>
          <w:p w14:paraId="10B6EE1F" w14:textId="3A76813B" w:rsidR="00660329" w:rsidRPr="001E192F" w:rsidRDefault="00660329" w:rsidP="009A2C29">
            <w:pPr>
              <w:pStyle w:val="TableBody"/>
              <w:rPr>
                <w:szCs w:val="24"/>
              </w:rPr>
            </w:pPr>
            <w:r w:rsidRPr="001E192F">
              <w:rPr>
                <w:color w:val="000000"/>
                <w:szCs w:val="24"/>
              </w:rPr>
              <w:t>0.373***</w:t>
            </w:r>
          </w:p>
        </w:tc>
        <w:tc>
          <w:tcPr>
            <w:tcW w:w="1545" w:type="dxa"/>
            <w:vAlign w:val="bottom"/>
          </w:tcPr>
          <w:p w14:paraId="54D9D0D6" w14:textId="4EF6D48C" w:rsidR="00660329" w:rsidRPr="001E192F" w:rsidRDefault="00660329" w:rsidP="009A2C29">
            <w:pPr>
              <w:pStyle w:val="TableBody"/>
              <w:rPr>
                <w:szCs w:val="24"/>
              </w:rPr>
            </w:pPr>
            <w:r w:rsidRPr="001E192F">
              <w:rPr>
                <w:color w:val="000000"/>
                <w:szCs w:val="24"/>
              </w:rPr>
              <w:t>0.285***</w:t>
            </w:r>
          </w:p>
        </w:tc>
        <w:tc>
          <w:tcPr>
            <w:tcW w:w="1546" w:type="dxa"/>
            <w:vAlign w:val="bottom"/>
          </w:tcPr>
          <w:p w14:paraId="432D76B6" w14:textId="639E8CA9" w:rsidR="00660329" w:rsidRPr="001E192F" w:rsidRDefault="00660329" w:rsidP="009A2C29">
            <w:pPr>
              <w:pStyle w:val="TableBody"/>
              <w:rPr>
                <w:szCs w:val="24"/>
              </w:rPr>
            </w:pPr>
            <w:r w:rsidRPr="001E192F">
              <w:rPr>
                <w:color w:val="000000"/>
                <w:szCs w:val="24"/>
              </w:rPr>
              <w:t>0.065</w:t>
            </w:r>
          </w:p>
        </w:tc>
        <w:tc>
          <w:tcPr>
            <w:tcW w:w="1545" w:type="dxa"/>
            <w:vAlign w:val="bottom"/>
          </w:tcPr>
          <w:p w14:paraId="422FFD35" w14:textId="5F56E7FB" w:rsidR="00660329" w:rsidRPr="001E192F" w:rsidRDefault="00660329" w:rsidP="009A2C29">
            <w:pPr>
              <w:pStyle w:val="TableBody"/>
              <w:rPr>
                <w:szCs w:val="24"/>
              </w:rPr>
            </w:pPr>
            <w:r w:rsidRPr="001E192F">
              <w:rPr>
                <w:color w:val="000000"/>
                <w:szCs w:val="24"/>
              </w:rPr>
              <w:t>-0.149</w:t>
            </w:r>
          </w:p>
        </w:tc>
        <w:tc>
          <w:tcPr>
            <w:tcW w:w="1546" w:type="dxa"/>
            <w:vAlign w:val="bottom"/>
          </w:tcPr>
          <w:p w14:paraId="4611B2F8" w14:textId="57070F86" w:rsidR="00660329" w:rsidRPr="001E192F" w:rsidRDefault="00660329" w:rsidP="009A2C29">
            <w:pPr>
              <w:pStyle w:val="TableBody"/>
              <w:rPr>
                <w:szCs w:val="24"/>
              </w:rPr>
            </w:pPr>
            <w:r w:rsidRPr="001E192F">
              <w:rPr>
                <w:color w:val="000000"/>
                <w:szCs w:val="24"/>
              </w:rPr>
              <w:t>-0.315</w:t>
            </w:r>
          </w:p>
        </w:tc>
      </w:tr>
      <w:tr w:rsidR="00660329" w:rsidRPr="001E192F" w14:paraId="51655D0B" w14:textId="77777777" w:rsidTr="00A01EE9">
        <w:trPr>
          <w:trHeight w:val="276"/>
        </w:trPr>
        <w:tc>
          <w:tcPr>
            <w:tcW w:w="1545" w:type="dxa"/>
          </w:tcPr>
          <w:p w14:paraId="4B78775B" w14:textId="77777777" w:rsidR="00660329" w:rsidRPr="001E192F" w:rsidRDefault="00660329" w:rsidP="009A2C29">
            <w:pPr>
              <w:pStyle w:val="TableBody"/>
              <w:rPr>
                <w:szCs w:val="24"/>
              </w:rPr>
            </w:pPr>
            <w:r w:rsidRPr="001E192F">
              <w:rPr>
                <w:szCs w:val="24"/>
              </w:rPr>
              <w:t>Factor</w:t>
            </w:r>
          </w:p>
        </w:tc>
        <w:tc>
          <w:tcPr>
            <w:tcW w:w="1545" w:type="dxa"/>
            <w:vAlign w:val="bottom"/>
          </w:tcPr>
          <w:p w14:paraId="6787CD06" w14:textId="1559795F" w:rsidR="00660329" w:rsidRPr="001E192F" w:rsidRDefault="00660329" w:rsidP="009A2C29">
            <w:pPr>
              <w:pStyle w:val="TableBody"/>
              <w:rPr>
                <w:szCs w:val="24"/>
              </w:rPr>
            </w:pPr>
            <w:r w:rsidRPr="001E192F">
              <w:rPr>
                <w:color w:val="000000"/>
                <w:szCs w:val="24"/>
              </w:rPr>
              <w:t>(2.388)</w:t>
            </w:r>
          </w:p>
        </w:tc>
        <w:tc>
          <w:tcPr>
            <w:tcW w:w="1546" w:type="dxa"/>
            <w:vAlign w:val="bottom"/>
          </w:tcPr>
          <w:p w14:paraId="5FD15FC1" w14:textId="0BEDD0E1" w:rsidR="00660329" w:rsidRPr="001E192F" w:rsidRDefault="00660329" w:rsidP="009A2C29">
            <w:pPr>
              <w:pStyle w:val="TableBody"/>
              <w:rPr>
                <w:szCs w:val="24"/>
              </w:rPr>
            </w:pPr>
            <w:r w:rsidRPr="001E192F">
              <w:rPr>
                <w:color w:val="000000"/>
                <w:szCs w:val="24"/>
              </w:rPr>
              <w:t>(6.033)</w:t>
            </w:r>
          </w:p>
        </w:tc>
        <w:tc>
          <w:tcPr>
            <w:tcW w:w="1545" w:type="dxa"/>
            <w:vAlign w:val="bottom"/>
          </w:tcPr>
          <w:p w14:paraId="7E5363A0" w14:textId="7F783A83" w:rsidR="00660329" w:rsidRPr="001E192F" w:rsidRDefault="00660329" w:rsidP="009A2C29">
            <w:pPr>
              <w:pStyle w:val="TableBody"/>
              <w:rPr>
                <w:szCs w:val="24"/>
              </w:rPr>
            </w:pPr>
            <w:r w:rsidRPr="001E192F">
              <w:rPr>
                <w:color w:val="000000"/>
                <w:szCs w:val="24"/>
              </w:rPr>
              <w:t>(4.231)</w:t>
            </w:r>
          </w:p>
        </w:tc>
        <w:tc>
          <w:tcPr>
            <w:tcW w:w="1546" w:type="dxa"/>
            <w:vAlign w:val="bottom"/>
          </w:tcPr>
          <w:p w14:paraId="6021DC45" w14:textId="698E223C" w:rsidR="00660329" w:rsidRPr="001E192F" w:rsidRDefault="00660329" w:rsidP="009A2C29">
            <w:pPr>
              <w:pStyle w:val="TableBody"/>
              <w:rPr>
                <w:szCs w:val="24"/>
              </w:rPr>
            </w:pPr>
            <w:r w:rsidRPr="001E192F">
              <w:rPr>
                <w:color w:val="000000"/>
                <w:szCs w:val="24"/>
              </w:rPr>
              <w:t>(0.659)</w:t>
            </w:r>
          </w:p>
        </w:tc>
        <w:tc>
          <w:tcPr>
            <w:tcW w:w="1545" w:type="dxa"/>
            <w:vAlign w:val="bottom"/>
          </w:tcPr>
          <w:p w14:paraId="0E0C39AE" w14:textId="62BBB1D1" w:rsidR="00660329" w:rsidRPr="001E192F" w:rsidRDefault="00660329" w:rsidP="009A2C29">
            <w:pPr>
              <w:pStyle w:val="TableBody"/>
              <w:rPr>
                <w:szCs w:val="24"/>
              </w:rPr>
            </w:pPr>
            <w:r w:rsidRPr="001E192F">
              <w:rPr>
                <w:color w:val="000000"/>
                <w:szCs w:val="24"/>
              </w:rPr>
              <w:t>(-0.757)</w:t>
            </w:r>
          </w:p>
        </w:tc>
        <w:tc>
          <w:tcPr>
            <w:tcW w:w="1546" w:type="dxa"/>
            <w:vAlign w:val="bottom"/>
          </w:tcPr>
          <w:p w14:paraId="060D904C" w14:textId="32FB36D4" w:rsidR="00660329" w:rsidRPr="001E192F" w:rsidRDefault="00660329" w:rsidP="009A2C29">
            <w:pPr>
              <w:pStyle w:val="TableBody"/>
              <w:rPr>
                <w:szCs w:val="24"/>
              </w:rPr>
            </w:pPr>
            <w:r w:rsidRPr="001E192F">
              <w:rPr>
                <w:color w:val="000000"/>
                <w:szCs w:val="24"/>
              </w:rPr>
              <w:t>(-1.473)</w:t>
            </w:r>
          </w:p>
        </w:tc>
      </w:tr>
      <w:tr w:rsidR="00660329" w:rsidRPr="001E192F" w14:paraId="711D308D" w14:textId="77777777" w:rsidTr="00A01EE9">
        <w:trPr>
          <w:trHeight w:val="276"/>
        </w:trPr>
        <w:tc>
          <w:tcPr>
            <w:tcW w:w="1545" w:type="dxa"/>
          </w:tcPr>
          <w:p w14:paraId="38AF59FF" w14:textId="77777777" w:rsidR="004633E6" w:rsidRPr="001E192F" w:rsidRDefault="004633E6" w:rsidP="009A2C29">
            <w:pPr>
              <w:pStyle w:val="TableBody"/>
              <w:rPr>
                <w:szCs w:val="24"/>
              </w:rPr>
            </w:pPr>
          </w:p>
        </w:tc>
        <w:tc>
          <w:tcPr>
            <w:tcW w:w="1545" w:type="dxa"/>
            <w:vAlign w:val="bottom"/>
          </w:tcPr>
          <w:p w14:paraId="3A1C4DCD" w14:textId="77777777" w:rsidR="004633E6" w:rsidRPr="001E192F" w:rsidRDefault="004633E6" w:rsidP="009A2C29">
            <w:pPr>
              <w:pStyle w:val="TableBody"/>
              <w:rPr>
                <w:color w:val="000000"/>
                <w:szCs w:val="24"/>
              </w:rPr>
            </w:pPr>
          </w:p>
        </w:tc>
        <w:tc>
          <w:tcPr>
            <w:tcW w:w="1546" w:type="dxa"/>
            <w:vAlign w:val="bottom"/>
          </w:tcPr>
          <w:p w14:paraId="6AE173DB" w14:textId="77777777" w:rsidR="004633E6" w:rsidRPr="001E192F" w:rsidRDefault="004633E6" w:rsidP="009A2C29">
            <w:pPr>
              <w:pStyle w:val="TableBody"/>
              <w:rPr>
                <w:color w:val="000000"/>
                <w:szCs w:val="24"/>
              </w:rPr>
            </w:pPr>
          </w:p>
        </w:tc>
        <w:tc>
          <w:tcPr>
            <w:tcW w:w="1545" w:type="dxa"/>
            <w:vAlign w:val="bottom"/>
          </w:tcPr>
          <w:p w14:paraId="66269636" w14:textId="77777777" w:rsidR="004633E6" w:rsidRPr="001E192F" w:rsidRDefault="004633E6" w:rsidP="009A2C29">
            <w:pPr>
              <w:pStyle w:val="TableBody"/>
              <w:rPr>
                <w:color w:val="000000"/>
                <w:szCs w:val="24"/>
              </w:rPr>
            </w:pPr>
          </w:p>
        </w:tc>
        <w:tc>
          <w:tcPr>
            <w:tcW w:w="1546" w:type="dxa"/>
            <w:vAlign w:val="bottom"/>
          </w:tcPr>
          <w:p w14:paraId="715D86FB" w14:textId="77777777" w:rsidR="004633E6" w:rsidRPr="001E192F" w:rsidRDefault="004633E6" w:rsidP="009A2C29">
            <w:pPr>
              <w:pStyle w:val="TableBody"/>
              <w:rPr>
                <w:color w:val="000000"/>
                <w:szCs w:val="24"/>
              </w:rPr>
            </w:pPr>
          </w:p>
        </w:tc>
        <w:tc>
          <w:tcPr>
            <w:tcW w:w="1545" w:type="dxa"/>
            <w:vAlign w:val="bottom"/>
          </w:tcPr>
          <w:p w14:paraId="2C104492" w14:textId="77777777" w:rsidR="004633E6" w:rsidRPr="001E192F" w:rsidRDefault="004633E6" w:rsidP="009A2C29">
            <w:pPr>
              <w:pStyle w:val="TableBody"/>
              <w:rPr>
                <w:color w:val="000000"/>
                <w:szCs w:val="24"/>
              </w:rPr>
            </w:pPr>
          </w:p>
        </w:tc>
        <w:tc>
          <w:tcPr>
            <w:tcW w:w="1546" w:type="dxa"/>
            <w:vAlign w:val="bottom"/>
          </w:tcPr>
          <w:p w14:paraId="07235269" w14:textId="77777777" w:rsidR="004633E6" w:rsidRPr="001E192F" w:rsidRDefault="004633E6" w:rsidP="009A2C29">
            <w:pPr>
              <w:pStyle w:val="TableBody"/>
              <w:rPr>
                <w:color w:val="000000"/>
                <w:szCs w:val="24"/>
              </w:rPr>
            </w:pPr>
          </w:p>
        </w:tc>
      </w:tr>
      <w:tr w:rsidR="00660329" w:rsidRPr="001E192F" w14:paraId="570A1FF8" w14:textId="77777777" w:rsidTr="00A01EE9">
        <w:trPr>
          <w:trHeight w:val="276"/>
        </w:trPr>
        <w:tc>
          <w:tcPr>
            <w:tcW w:w="1545" w:type="dxa"/>
          </w:tcPr>
          <w:p w14:paraId="07DC8A16" w14:textId="77777777" w:rsidR="00660329" w:rsidRPr="001E192F" w:rsidRDefault="00660329" w:rsidP="009A2C29">
            <w:pPr>
              <w:pStyle w:val="TableBody"/>
              <w:rPr>
                <w:szCs w:val="24"/>
              </w:rPr>
            </w:pPr>
            <w:r w:rsidRPr="001E192F">
              <w:rPr>
                <w:szCs w:val="24"/>
              </w:rPr>
              <w:t>Reversal</w:t>
            </w:r>
          </w:p>
        </w:tc>
        <w:tc>
          <w:tcPr>
            <w:tcW w:w="1545" w:type="dxa"/>
            <w:vAlign w:val="bottom"/>
          </w:tcPr>
          <w:p w14:paraId="32AA2105" w14:textId="61D3A977" w:rsidR="00660329" w:rsidRPr="001E192F" w:rsidRDefault="00660329" w:rsidP="009A2C29">
            <w:pPr>
              <w:pStyle w:val="TableBody"/>
              <w:rPr>
                <w:szCs w:val="24"/>
              </w:rPr>
            </w:pPr>
            <w:r w:rsidRPr="001E192F">
              <w:rPr>
                <w:color w:val="000000"/>
                <w:szCs w:val="24"/>
              </w:rPr>
              <w:t>0.023</w:t>
            </w:r>
          </w:p>
        </w:tc>
        <w:tc>
          <w:tcPr>
            <w:tcW w:w="1546" w:type="dxa"/>
            <w:vAlign w:val="bottom"/>
          </w:tcPr>
          <w:p w14:paraId="43C18B0B" w14:textId="2D65E53D" w:rsidR="00660329" w:rsidRPr="001E192F" w:rsidRDefault="00660329" w:rsidP="009A2C29">
            <w:pPr>
              <w:pStyle w:val="TableBody"/>
              <w:rPr>
                <w:szCs w:val="24"/>
              </w:rPr>
            </w:pPr>
            <w:r w:rsidRPr="001E192F">
              <w:rPr>
                <w:color w:val="000000"/>
                <w:szCs w:val="24"/>
              </w:rPr>
              <w:t>0.170***</w:t>
            </w:r>
          </w:p>
        </w:tc>
        <w:tc>
          <w:tcPr>
            <w:tcW w:w="1545" w:type="dxa"/>
            <w:vAlign w:val="bottom"/>
          </w:tcPr>
          <w:p w14:paraId="72FFF0BF" w14:textId="6D09E49D" w:rsidR="00660329" w:rsidRPr="001E192F" w:rsidRDefault="00660329" w:rsidP="009A2C29">
            <w:pPr>
              <w:pStyle w:val="TableBody"/>
              <w:rPr>
                <w:szCs w:val="24"/>
              </w:rPr>
            </w:pPr>
            <w:r w:rsidRPr="001E192F">
              <w:rPr>
                <w:color w:val="000000"/>
                <w:szCs w:val="24"/>
              </w:rPr>
              <w:t>0.081</w:t>
            </w:r>
          </w:p>
        </w:tc>
        <w:tc>
          <w:tcPr>
            <w:tcW w:w="1546" w:type="dxa"/>
            <w:vAlign w:val="bottom"/>
          </w:tcPr>
          <w:p w14:paraId="5FC3C1BA" w14:textId="66BCC4AA" w:rsidR="00660329" w:rsidRPr="001E192F" w:rsidRDefault="00660329" w:rsidP="009A2C29">
            <w:pPr>
              <w:pStyle w:val="TableBody"/>
              <w:rPr>
                <w:szCs w:val="24"/>
              </w:rPr>
            </w:pPr>
            <w:r w:rsidRPr="001E192F">
              <w:rPr>
                <w:color w:val="000000"/>
                <w:szCs w:val="24"/>
              </w:rPr>
              <w:t>-0.180*</w:t>
            </w:r>
          </w:p>
        </w:tc>
        <w:tc>
          <w:tcPr>
            <w:tcW w:w="1545" w:type="dxa"/>
            <w:vAlign w:val="bottom"/>
          </w:tcPr>
          <w:p w14:paraId="73EBDD99" w14:textId="6F25BDE4" w:rsidR="00660329" w:rsidRPr="001E192F" w:rsidRDefault="00660329" w:rsidP="009A2C29">
            <w:pPr>
              <w:pStyle w:val="TableBody"/>
              <w:rPr>
                <w:szCs w:val="24"/>
              </w:rPr>
            </w:pPr>
            <w:r w:rsidRPr="001E192F">
              <w:rPr>
                <w:color w:val="000000"/>
                <w:szCs w:val="24"/>
              </w:rPr>
              <w:t>-0.356*</w:t>
            </w:r>
          </w:p>
        </w:tc>
        <w:tc>
          <w:tcPr>
            <w:tcW w:w="1546" w:type="dxa"/>
            <w:vAlign w:val="bottom"/>
          </w:tcPr>
          <w:p w14:paraId="3AA13F67" w14:textId="2091BF16" w:rsidR="00660329" w:rsidRPr="001E192F" w:rsidRDefault="00660329" w:rsidP="009A2C29">
            <w:pPr>
              <w:pStyle w:val="TableBody"/>
              <w:rPr>
                <w:szCs w:val="24"/>
              </w:rPr>
            </w:pPr>
            <w:r w:rsidRPr="001E192F">
              <w:rPr>
                <w:color w:val="000000"/>
                <w:szCs w:val="24"/>
              </w:rPr>
              <w:t>-0.379*</w:t>
            </w:r>
          </w:p>
        </w:tc>
      </w:tr>
      <w:tr w:rsidR="00660329" w:rsidRPr="001E192F" w14:paraId="0983634B" w14:textId="77777777" w:rsidTr="00A01EE9">
        <w:trPr>
          <w:trHeight w:val="276"/>
        </w:trPr>
        <w:tc>
          <w:tcPr>
            <w:tcW w:w="1545" w:type="dxa"/>
          </w:tcPr>
          <w:p w14:paraId="3A7946DC" w14:textId="77777777" w:rsidR="00660329" w:rsidRPr="001E192F" w:rsidRDefault="00660329" w:rsidP="009A2C29">
            <w:pPr>
              <w:pStyle w:val="TableBody"/>
              <w:rPr>
                <w:szCs w:val="24"/>
              </w:rPr>
            </w:pPr>
            <w:r w:rsidRPr="001E192F">
              <w:rPr>
                <w:szCs w:val="24"/>
              </w:rPr>
              <w:t>Factor</w:t>
            </w:r>
          </w:p>
        </w:tc>
        <w:tc>
          <w:tcPr>
            <w:tcW w:w="1545" w:type="dxa"/>
            <w:vAlign w:val="bottom"/>
          </w:tcPr>
          <w:p w14:paraId="59A030A0" w14:textId="7E7F38A6" w:rsidR="00660329" w:rsidRPr="001E192F" w:rsidRDefault="00660329" w:rsidP="009A2C29">
            <w:pPr>
              <w:pStyle w:val="TableBody"/>
              <w:rPr>
                <w:szCs w:val="24"/>
              </w:rPr>
            </w:pPr>
            <w:r w:rsidRPr="001E192F">
              <w:rPr>
                <w:color w:val="000000"/>
                <w:szCs w:val="24"/>
              </w:rPr>
              <w:t>(0.330)</w:t>
            </w:r>
          </w:p>
        </w:tc>
        <w:tc>
          <w:tcPr>
            <w:tcW w:w="1546" w:type="dxa"/>
            <w:vAlign w:val="bottom"/>
          </w:tcPr>
          <w:p w14:paraId="717647A2" w14:textId="1C804F02" w:rsidR="00660329" w:rsidRPr="001E192F" w:rsidRDefault="00660329" w:rsidP="009A2C29">
            <w:pPr>
              <w:pStyle w:val="TableBody"/>
              <w:rPr>
                <w:szCs w:val="24"/>
              </w:rPr>
            </w:pPr>
            <w:r w:rsidRPr="001E192F">
              <w:rPr>
                <w:color w:val="000000"/>
                <w:szCs w:val="24"/>
              </w:rPr>
              <w:t>(2.719)</w:t>
            </w:r>
          </w:p>
        </w:tc>
        <w:tc>
          <w:tcPr>
            <w:tcW w:w="1545" w:type="dxa"/>
            <w:vAlign w:val="bottom"/>
          </w:tcPr>
          <w:p w14:paraId="61A70610" w14:textId="6C767A2D" w:rsidR="00660329" w:rsidRPr="001E192F" w:rsidRDefault="00660329" w:rsidP="009A2C29">
            <w:pPr>
              <w:pStyle w:val="TableBody"/>
              <w:rPr>
                <w:szCs w:val="24"/>
              </w:rPr>
            </w:pPr>
            <w:r w:rsidRPr="001E192F">
              <w:rPr>
                <w:color w:val="000000"/>
                <w:szCs w:val="24"/>
              </w:rPr>
              <w:t>(1.228)</w:t>
            </w:r>
          </w:p>
        </w:tc>
        <w:tc>
          <w:tcPr>
            <w:tcW w:w="1546" w:type="dxa"/>
            <w:vAlign w:val="bottom"/>
          </w:tcPr>
          <w:p w14:paraId="5FA08986" w14:textId="0460A81E" w:rsidR="00660329" w:rsidRPr="001E192F" w:rsidRDefault="00660329" w:rsidP="009A2C29">
            <w:pPr>
              <w:pStyle w:val="TableBody"/>
              <w:rPr>
                <w:szCs w:val="24"/>
              </w:rPr>
            </w:pPr>
            <w:r w:rsidRPr="001E192F">
              <w:rPr>
                <w:color w:val="000000"/>
                <w:szCs w:val="24"/>
              </w:rPr>
              <w:t>(-1.890)</w:t>
            </w:r>
          </w:p>
        </w:tc>
        <w:tc>
          <w:tcPr>
            <w:tcW w:w="1545" w:type="dxa"/>
            <w:vAlign w:val="bottom"/>
          </w:tcPr>
          <w:p w14:paraId="2CC8C13B" w14:textId="2410CB43" w:rsidR="00660329" w:rsidRPr="001E192F" w:rsidRDefault="00660329" w:rsidP="009A2C29">
            <w:pPr>
              <w:pStyle w:val="TableBody"/>
              <w:rPr>
                <w:szCs w:val="24"/>
              </w:rPr>
            </w:pPr>
            <w:r w:rsidRPr="001E192F">
              <w:rPr>
                <w:color w:val="000000"/>
                <w:szCs w:val="24"/>
              </w:rPr>
              <w:t>(-1.873)</w:t>
            </w:r>
          </w:p>
        </w:tc>
        <w:tc>
          <w:tcPr>
            <w:tcW w:w="1546" w:type="dxa"/>
            <w:vAlign w:val="bottom"/>
          </w:tcPr>
          <w:p w14:paraId="2CA9CF53" w14:textId="00657A43" w:rsidR="00660329" w:rsidRPr="001E192F" w:rsidRDefault="00660329" w:rsidP="009A2C29">
            <w:pPr>
              <w:pStyle w:val="TableBody"/>
              <w:rPr>
                <w:szCs w:val="24"/>
              </w:rPr>
            </w:pPr>
            <w:r w:rsidRPr="001E192F">
              <w:rPr>
                <w:color w:val="000000"/>
                <w:szCs w:val="24"/>
              </w:rPr>
              <w:t>(-1.840)</w:t>
            </w:r>
          </w:p>
        </w:tc>
      </w:tr>
      <w:tr w:rsidR="00660329" w:rsidRPr="001E192F" w14:paraId="6D08CB82" w14:textId="77777777" w:rsidTr="00A01EE9">
        <w:trPr>
          <w:trHeight w:val="276"/>
        </w:trPr>
        <w:tc>
          <w:tcPr>
            <w:tcW w:w="1545" w:type="dxa"/>
          </w:tcPr>
          <w:p w14:paraId="1084FA4F" w14:textId="77777777" w:rsidR="004633E6" w:rsidRPr="001E192F" w:rsidRDefault="004633E6" w:rsidP="009A2C29">
            <w:pPr>
              <w:pStyle w:val="TableBody"/>
              <w:rPr>
                <w:szCs w:val="24"/>
              </w:rPr>
            </w:pPr>
          </w:p>
        </w:tc>
        <w:tc>
          <w:tcPr>
            <w:tcW w:w="1545" w:type="dxa"/>
            <w:vAlign w:val="bottom"/>
          </w:tcPr>
          <w:p w14:paraId="588355CE" w14:textId="77777777" w:rsidR="004633E6" w:rsidRPr="001E192F" w:rsidRDefault="004633E6" w:rsidP="009A2C29">
            <w:pPr>
              <w:pStyle w:val="TableBody"/>
              <w:rPr>
                <w:color w:val="000000"/>
                <w:szCs w:val="24"/>
              </w:rPr>
            </w:pPr>
          </w:p>
        </w:tc>
        <w:tc>
          <w:tcPr>
            <w:tcW w:w="1546" w:type="dxa"/>
            <w:vAlign w:val="bottom"/>
          </w:tcPr>
          <w:p w14:paraId="417FA703" w14:textId="77777777" w:rsidR="004633E6" w:rsidRPr="001E192F" w:rsidRDefault="004633E6" w:rsidP="009A2C29">
            <w:pPr>
              <w:pStyle w:val="TableBody"/>
              <w:rPr>
                <w:color w:val="000000"/>
                <w:szCs w:val="24"/>
              </w:rPr>
            </w:pPr>
          </w:p>
        </w:tc>
        <w:tc>
          <w:tcPr>
            <w:tcW w:w="1545" w:type="dxa"/>
            <w:vAlign w:val="bottom"/>
          </w:tcPr>
          <w:p w14:paraId="5936FC80" w14:textId="77777777" w:rsidR="004633E6" w:rsidRPr="001E192F" w:rsidRDefault="004633E6" w:rsidP="009A2C29">
            <w:pPr>
              <w:pStyle w:val="TableBody"/>
              <w:rPr>
                <w:color w:val="000000"/>
                <w:szCs w:val="24"/>
              </w:rPr>
            </w:pPr>
          </w:p>
        </w:tc>
        <w:tc>
          <w:tcPr>
            <w:tcW w:w="1546" w:type="dxa"/>
            <w:vAlign w:val="bottom"/>
          </w:tcPr>
          <w:p w14:paraId="2D818F3F" w14:textId="77777777" w:rsidR="004633E6" w:rsidRPr="001E192F" w:rsidRDefault="004633E6" w:rsidP="009A2C29">
            <w:pPr>
              <w:pStyle w:val="TableBody"/>
              <w:rPr>
                <w:color w:val="000000"/>
                <w:szCs w:val="24"/>
              </w:rPr>
            </w:pPr>
          </w:p>
        </w:tc>
        <w:tc>
          <w:tcPr>
            <w:tcW w:w="1545" w:type="dxa"/>
            <w:vAlign w:val="bottom"/>
          </w:tcPr>
          <w:p w14:paraId="5E612812" w14:textId="77777777" w:rsidR="004633E6" w:rsidRPr="001E192F" w:rsidRDefault="004633E6" w:rsidP="009A2C29">
            <w:pPr>
              <w:pStyle w:val="TableBody"/>
              <w:rPr>
                <w:color w:val="000000"/>
                <w:szCs w:val="24"/>
              </w:rPr>
            </w:pPr>
          </w:p>
        </w:tc>
        <w:tc>
          <w:tcPr>
            <w:tcW w:w="1546" w:type="dxa"/>
            <w:vAlign w:val="bottom"/>
          </w:tcPr>
          <w:p w14:paraId="504B1F9E" w14:textId="77777777" w:rsidR="004633E6" w:rsidRPr="001E192F" w:rsidRDefault="004633E6" w:rsidP="009A2C29">
            <w:pPr>
              <w:pStyle w:val="TableBody"/>
              <w:rPr>
                <w:color w:val="000000"/>
                <w:szCs w:val="24"/>
              </w:rPr>
            </w:pPr>
          </w:p>
        </w:tc>
      </w:tr>
      <w:tr w:rsidR="00660329" w:rsidRPr="001E192F" w14:paraId="36AA6F82" w14:textId="77777777" w:rsidTr="00A01EE9">
        <w:trPr>
          <w:trHeight w:val="276"/>
        </w:trPr>
        <w:tc>
          <w:tcPr>
            <w:tcW w:w="1545" w:type="dxa"/>
          </w:tcPr>
          <w:p w14:paraId="057435A3" w14:textId="77777777" w:rsidR="00660329" w:rsidRPr="001E192F" w:rsidRDefault="00660329" w:rsidP="009A2C29">
            <w:pPr>
              <w:pStyle w:val="TableBody"/>
              <w:rPr>
                <w:szCs w:val="24"/>
              </w:rPr>
            </w:pPr>
            <w:proofErr w:type="spellStart"/>
            <w:r w:rsidRPr="001E192F">
              <w:rPr>
                <w:szCs w:val="24"/>
              </w:rPr>
              <w:t>Fama</w:t>
            </w:r>
            <w:proofErr w:type="spellEnd"/>
            <w:r w:rsidRPr="001E192F">
              <w:rPr>
                <w:szCs w:val="24"/>
              </w:rPr>
              <w:t>-French</w:t>
            </w:r>
          </w:p>
        </w:tc>
        <w:tc>
          <w:tcPr>
            <w:tcW w:w="1545" w:type="dxa"/>
            <w:vAlign w:val="bottom"/>
          </w:tcPr>
          <w:p w14:paraId="563A67FC" w14:textId="6E9CEA9B" w:rsidR="00660329" w:rsidRPr="001E192F" w:rsidRDefault="00660329" w:rsidP="009A2C29">
            <w:pPr>
              <w:pStyle w:val="TableBody"/>
              <w:rPr>
                <w:szCs w:val="24"/>
              </w:rPr>
            </w:pPr>
            <w:r w:rsidRPr="001E192F">
              <w:rPr>
                <w:color w:val="000000"/>
                <w:szCs w:val="24"/>
              </w:rPr>
              <w:t>-0.078</w:t>
            </w:r>
          </w:p>
        </w:tc>
        <w:tc>
          <w:tcPr>
            <w:tcW w:w="1546" w:type="dxa"/>
            <w:vAlign w:val="bottom"/>
          </w:tcPr>
          <w:p w14:paraId="19B40A1D" w14:textId="1C492877" w:rsidR="00660329" w:rsidRPr="001E192F" w:rsidRDefault="00660329" w:rsidP="009A2C29">
            <w:pPr>
              <w:pStyle w:val="TableBody"/>
              <w:rPr>
                <w:szCs w:val="24"/>
              </w:rPr>
            </w:pPr>
            <w:r w:rsidRPr="001E192F">
              <w:rPr>
                <w:color w:val="000000"/>
                <w:szCs w:val="24"/>
              </w:rPr>
              <w:t>0.147***</w:t>
            </w:r>
          </w:p>
        </w:tc>
        <w:tc>
          <w:tcPr>
            <w:tcW w:w="1545" w:type="dxa"/>
            <w:vAlign w:val="bottom"/>
          </w:tcPr>
          <w:p w14:paraId="2AF4ACAA" w14:textId="0F4D8B93" w:rsidR="00660329" w:rsidRPr="001E192F" w:rsidRDefault="00660329" w:rsidP="009A2C29">
            <w:pPr>
              <w:pStyle w:val="TableBody"/>
              <w:rPr>
                <w:szCs w:val="24"/>
              </w:rPr>
            </w:pPr>
            <w:r w:rsidRPr="001E192F">
              <w:rPr>
                <w:color w:val="000000"/>
                <w:szCs w:val="24"/>
              </w:rPr>
              <w:t>0.177***</w:t>
            </w:r>
          </w:p>
        </w:tc>
        <w:tc>
          <w:tcPr>
            <w:tcW w:w="1546" w:type="dxa"/>
            <w:vAlign w:val="bottom"/>
          </w:tcPr>
          <w:p w14:paraId="0790BD18" w14:textId="15F4E968" w:rsidR="00660329" w:rsidRPr="001E192F" w:rsidRDefault="00660329" w:rsidP="009A2C29">
            <w:pPr>
              <w:pStyle w:val="TableBody"/>
              <w:rPr>
                <w:szCs w:val="24"/>
              </w:rPr>
            </w:pPr>
            <w:r w:rsidRPr="001E192F">
              <w:rPr>
                <w:color w:val="000000"/>
                <w:szCs w:val="24"/>
              </w:rPr>
              <w:t>0.023</w:t>
            </w:r>
          </w:p>
        </w:tc>
        <w:tc>
          <w:tcPr>
            <w:tcW w:w="1545" w:type="dxa"/>
            <w:vAlign w:val="bottom"/>
          </w:tcPr>
          <w:p w14:paraId="56B2F232" w14:textId="0C3283C3" w:rsidR="00660329" w:rsidRPr="001E192F" w:rsidRDefault="00660329" w:rsidP="009A2C29">
            <w:pPr>
              <w:pStyle w:val="TableBody"/>
              <w:rPr>
                <w:szCs w:val="24"/>
              </w:rPr>
            </w:pPr>
            <w:r w:rsidRPr="001E192F">
              <w:rPr>
                <w:color w:val="000000"/>
                <w:szCs w:val="24"/>
              </w:rPr>
              <w:t>-0.034</w:t>
            </w:r>
          </w:p>
        </w:tc>
        <w:tc>
          <w:tcPr>
            <w:tcW w:w="1546" w:type="dxa"/>
            <w:vAlign w:val="bottom"/>
          </w:tcPr>
          <w:p w14:paraId="2A025603" w14:textId="503F6F21" w:rsidR="00660329" w:rsidRPr="001E192F" w:rsidRDefault="00660329" w:rsidP="009A2C29">
            <w:pPr>
              <w:pStyle w:val="TableBody"/>
              <w:rPr>
                <w:szCs w:val="24"/>
              </w:rPr>
            </w:pPr>
            <w:r w:rsidRPr="001E192F">
              <w:rPr>
                <w:color w:val="000000"/>
                <w:szCs w:val="24"/>
              </w:rPr>
              <w:t>0.044</w:t>
            </w:r>
          </w:p>
        </w:tc>
      </w:tr>
      <w:tr w:rsidR="00660329" w:rsidRPr="001E192F" w14:paraId="7E726A3F" w14:textId="77777777" w:rsidTr="00A01EE9">
        <w:trPr>
          <w:trHeight w:val="276"/>
        </w:trPr>
        <w:tc>
          <w:tcPr>
            <w:tcW w:w="1545" w:type="dxa"/>
          </w:tcPr>
          <w:p w14:paraId="43848D77" w14:textId="77777777" w:rsidR="00660329" w:rsidRPr="001E192F" w:rsidRDefault="00660329" w:rsidP="009A2C29">
            <w:pPr>
              <w:pStyle w:val="TableBody"/>
              <w:rPr>
                <w:szCs w:val="24"/>
              </w:rPr>
            </w:pPr>
            <w:r w:rsidRPr="001E192F">
              <w:rPr>
                <w:szCs w:val="24"/>
              </w:rPr>
              <w:t>Five Factors</w:t>
            </w:r>
          </w:p>
        </w:tc>
        <w:tc>
          <w:tcPr>
            <w:tcW w:w="1545" w:type="dxa"/>
            <w:vAlign w:val="bottom"/>
          </w:tcPr>
          <w:p w14:paraId="4F33F3C2" w14:textId="3C19419A" w:rsidR="00660329" w:rsidRPr="001E192F" w:rsidRDefault="00660329" w:rsidP="009A2C29">
            <w:pPr>
              <w:pStyle w:val="TableBody"/>
              <w:rPr>
                <w:szCs w:val="24"/>
              </w:rPr>
            </w:pPr>
            <w:r w:rsidRPr="001E192F">
              <w:rPr>
                <w:color w:val="000000"/>
                <w:szCs w:val="24"/>
              </w:rPr>
              <w:t>(-1.307)</w:t>
            </w:r>
          </w:p>
        </w:tc>
        <w:tc>
          <w:tcPr>
            <w:tcW w:w="1546" w:type="dxa"/>
            <w:vAlign w:val="bottom"/>
          </w:tcPr>
          <w:p w14:paraId="171B380A" w14:textId="209E8E0A" w:rsidR="00660329" w:rsidRPr="001E192F" w:rsidRDefault="00660329" w:rsidP="009A2C29">
            <w:pPr>
              <w:pStyle w:val="TableBody"/>
              <w:rPr>
                <w:szCs w:val="24"/>
              </w:rPr>
            </w:pPr>
            <w:r w:rsidRPr="001E192F">
              <w:rPr>
                <w:color w:val="000000"/>
                <w:szCs w:val="24"/>
              </w:rPr>
              <w:t>(2.592)</w:t>
            </w:r>
          </w:p>
        </w:tc>
        <w:tc>
          <w:tcPr>
            <w:tcW w:w="1545" w:type="dxa"/>
            <w:vAlign w:val="bottom"/>
          </w:tcPr>
          <w:p w14:paraId="0A4193F4" w14:textId="28D140D4" w:rsidR="00660329" w:rsidRPr="001E192F" w:rsidRDefault="00660329" w:rsidP="009A2C29">
            <w:pPr>
              <w:pStyle w:val="TableBody"/>
              <w:rPr>
                <w:szCs w:val="24"/>
              </w:rPr>
            </w:pPr>
            <w:r w:rsidRPr="001E192F">
              <w:rPr>
                <w:color w:val="000000"/>
                <w:szCs w:val="24"/>
              </w:rPr>
              <w:t>(2.662)</w:t>
            </w:r>
          </w:p>
        </w:tc>
        <w:tc>
          <w:tcPr>
            <w:tcW w:w="1546" w:type="dxa"/>
            <w:vAlign w:val="bottom"/>
          </w:tcPr>
          <w:p w14:paraId="10D5B396" w14:textId="5E8575B8" w:rsidR="00660329" w:rsidRPr="001E192F" w:rsidRDefault="00660329" w:rsidP="009A2C29">
            <w:pPr>
              <w:pStyle w:val="TableBody"/>
              <w:rPr>
                <w:szCs w:val="24"/>
              </w:rPr>
            </w:pPr>
            <w:r w:rsidRPr="001E192F">
              <w:rPr>
                <w:color w:val="000000"/>
                <w:szCs w:val="24"/>
              </w:rPr>
              <w:t>(0.244)</w:t>
            </w:r>
          </w:p>
        </w:tc>
        <w:tc>
          <w:tcPr>
            <w:tcW w:w="1545" w:type="dxa"/>
            <w:vAlign w:val="bottom"/>
          </w:tcPr>
          <w:p w14:paraId="715740F4" w14:textId="01B7A7DF" w:rsidR="00660329" w:rsidRPr="001E192F" w:rsidRDefault="00660329" w:rsidP="009A2C29">
            <w:pPr>
              <w:pStyle w:val="TableBody"/>
              <w:rPr>
                <w:szCs w:val="24"/>
              </w:rPr>
            </w:pPr>
            <w:r w:rsidRPr="001E192F">
              <w:rPr>
                <w:color w:val="000000"/>
                <w:szCs w:val="24"/>
              </w:rPr>
              <w:t>(-0.185)</w:t>
            </w:r>
          </w:p>
        </w:tc>
        <w:tc>
          <w:tcPr>
            <w:tcW w:w="1546" w:type="dxa"/>
            <w:vAlign w:val="bottom"/>
          </w:tcPr>
          <w:p w14:paraId="3B63CB13" w14:textId="5BCBD257" w:rsidR="00660329" w:rsidRPr="001E192F" w:rsidRDefault="00660329" w:rsidP="009A2C29">
            <w:pPr>
              <w:pStyle w:val="TableBody"/>
              <w:rPr>
                <w:szCs w:val="24"/>
              </w:rPr>
            </w:pPr>
            <w:r w:rsidRPr="001E192F">
              <w:rPr>
                <w:color w:val="000000"/>
                <w:szCs w:val="24"/>
              </w:rPr>
              <w:t>(0.231)</w:t>
            </w:r>
          </w:p>
        </w:tc>
      </w:tr>
      <w:tr w:rsidR="00660329" w:rsidRPr="001E192F" w14:paraId="02EA5999" w14:textId="77777777" w:rsidTr="00A01EE9">
        <w:trPr>
          <w:trHeight w:val="276"/>
        </w:trPr>
        <w:tc>
          <w:tcPr>
            <w:tcW w:w="1545" w:type="dxa"/>
          </w:tcPr>
          <w:p w14:paraId="0662E4A2" w14:textId="77777777" w:rsidR="004633E6" w:rsidRPr="001E192F" w:rsidRDefault="004633E6" w:rsidP="009A2C29">
            <w:pPr>
              <w:pStyle w:val="TableBody"/>
              <w:rPr>
                <w:szCs w:val="24"/>
              </w:rPr>
            </w:pPr>
          </w:p>
        </w:tc>
        <w:tc>
          <w:tcPr>
            <w:tcW w:w="1545" w:type="dxa"/>
            <w:vAlign w:val="bottom"/>
          </w:tcPr>
          <w:p w14:paraId="1AE9C424" w14:textId="77777777" w:rsidR="004633E6" w:rsidRPr="001E192F" w:rsidRDefault="004633E6" w:rsidP="009A2C29">
            <w:pPr>
              <w:pStyle w:val="TableBody"/>
              <w:rPr>
                <w:color w:val="000000"/>
                <w:szCs w:val="24"/>
              </w:rPr>
            </w:pPr>
          </w:p>
        </w:tc>
        <w:tc>
          <w:tcPr>
            <w:tcW w:w="1546" w:type="dxa"/>
            <w:vAlign w:val="bottom"/>
          </w:tcPr>
          <w:p w14:paraId="15164FC7" w14:textId="77777777" w:rsidR="004633E6" w:rsidRPr="001E192F" w:rsidRDefault="004633E6" w:rsidP="009A2C29">
            <w:pPr>
              <w:pStyle w:val="TableBody"/>
              <w:rPr>
                <w:color w:val="000000"/>
                <w:szCs w:val="24"/>
              </w:rPr>
            </w:pPr>
          </w:p>
        </w:tc>
        <w:tc>
          <w:tcPr>
            <w:tcW w:w="1545" w:type="dxa"/>
            <w:vAlign w:val="bottom"/>
          </w:tcPr>
          <w:p w14:paraId="13FF4FB3" w14:textId="77777777" w:rsidR="004633E6" w:rsidRPr="001E192F" w:rsidRDefault="004633E6" w:rsidP="009A2C29">
            <w:pPr>
              <w:pStyle w:val="TableBody"/>
              <w:rPr>
                <w:color w:val="000000"/>
                <w:szCs w:val="24"/>
              </w:rPr>
            </w:pPr>
          </w:p>
        </w:tc>
        <w:tc>
          <w:tcPr>
            <w:tcW w:w="1546" w:type="dxa"/>
            <w:vAlign w:val="bottom"/>
          </w:tcPr>
          <w:p w14:paraId="44A147AA" w14:textId="77777777" w:rsidR="004633E6" w:rsidRPr="001E192F" w:rsidRDefault="004633E6" w:rsidP="009A2C29">
            <w:pPr>
              <w:pStyle w:val="TableBody"/>
              <w:rPr>
                <w:color w:val="000000"/>
                <w:szCs w:val="24"/>
              </w:rPr>
            </w:pPr>
          </w:p>
        </w:tc>
        <w:tc>
          <w:tcPr>
            <w:tcW w:w="1545" w:type="dxa"/>
            <w:vAlign w:val="bottom"/>
          </w:tcPr>
          <w:p w14:paraId="7A472317" w14:textId="77777777" w:rsidR="004633E6" w:rsidRPr="001E192F" w:rsidRDefault="004633E6" w:rsidP="009A2C29">
            <w:pPr>
              <w:pStyle w:val="TableBody"/>
              <w:rPr>
                <w:color w:val="000000"/>
                <w:szCs w:val="24"/>
              </w:rPr>
            </w:pPr>
          </w:p>
        </w:tc>
        <w:tc>
          <w:tcPr>
            <w:tcW w:w="1546" w:type="dxa"/>
            <w:vAlign w:val="bottom"/>
          </w:tcPr>
          <w:p w14:paraId="161A1D7F" w14:textId="77777777" w:rsidR="004633E6" w:rsidRPr="001E192F" w:rsidRDefault="004633E6" w:rsidP="009A2C29">
            <w:pPr>
              <w:pStyle w:val="TableBody"/>
              <w:rPr>
                <w:color w:val="000000"/>
                <w:szCs w:val="24"/>
              </w:rPr>
            </w:pPr>
          </w:p>
        </w:tc>
      </w:tr>
      <w:tr w:rsidR="00660329" w:rsidRPr="001E192F" w14:paraId="4D041E67" w14:textId="77777777" w:rsidTr="00A01EE9">
        <w:trPr>
          <w:trHeight w:val="276"/>
        </w:trPr>
        <w:tc>
          <w:tcPr>
            <w:tcW w:w="1545" w:type="dxa"/>
          </w:tcPr>
          <w:p w14:paraId="737BE87E" w14:textId="77777777" w:rsidR="00660329" w:rsidRPr="001E192F" w:rsidRDefault="00660329" w:rsidP="009A2C29">
            <w:pPr>
              <w:pStyle w:val="TableBody"/>
              <w:rPr>
                <w:szCs w:val="24"/>
              </w:rPr>
            </w:pPr>
            <w:r w:rsidRPr="001E192F">
              <w:rPr>
                <w:szCs w:val="24"/>
              </w:rPr>
              <w:t>All</w:t>
            </w:r>
          </w:p>
        </w:tc>
        <w:tc>
          <w:tcPr>
            <w:tcW w:w="1545" w:type="dxa"/>
            <w:vAlign w:val="bottom"/>
          </w:tcPr>
          <w:p w14:paraId="73932687" w14:textId="42FA1745" w:rsidR="00660329" w:rsidRPr="001E192F" w:rsidRDefault="00660329" w:rsidP="009A2C29">
            <w:pPr>
              <w:pStyle w:val="TableBody"/>
              <w:rPr>
                <w:szCs w:val="24"/>
              </w:rPr>
            </w:pPr>
            <w:r w:rsidRPr="001E192F">
              <w:rPr>
                <w:color w:val="000000"/>
                <w:szCs w:val="24"/>
              </w:rPr>
              <w:t>-0.060</w:t>
            </w:r>
          </w:p>
        </w:tc>
        <w:tc>
          <w:tcPr>
            <w:tcW w:w="1546" w:type="dxa"/>
            <w:vAlign w:val="bottom"/>
          </w:tcPr>
          <w:p w14:paraId="6F3A0A71" w14:textId="4891383E" w:rsidR="00660329" w:rsidRPr="001E192F" w:rsidRDefault="00660329" w:rsidP="009A2C29">
            <w:pPr>
              <w:pStyle w:val="TableBody"/>
              <w:rPr>
                <w:szCs w:val="24"/>
              </w:rPr>
            </w:pPr>
            <w:r w:rsidRPr="001E192F">
              <w:rPr>
                <w:color w:val="000000"/>
                <w:szCs w:val="24"/>
              </w:rPr>
              <w:t>0.126**</w:t>
            </w:r>
          </w:p>
        </w:tc>
        <w:tc>
          <w:tcPr>
            <w:tcW w:w="1545" w:type="dxa"/>
            <w:vAlign w:val="bottom"/>
          </w:tcPr>
          <w:p w14:paraId="20AF8591" w14:textId="34A9C426" w:rsidR="00660329" w:rsidRPr="001E192F" w:rsidRDefault="00660329" w:rsidP="009A2C29">
            <w:pPr>
              <w:pStyle w:val="TableBody"/>
              <w:rPr>
                <w:szCs w:val="24"/>
              </w:rPr>
            </w:pPr>
            <w:r w:rsidRPr="001E192F">
              <w:rPr>
                <w:color w:val="000000"/>
                <w:szCs w:val="24"/>
              </w:rPr>
              <w:t>0.156**</w:t>
            </w:r>
          </w:p>
        </w:tc>
        <w:tc>
          <w:tcPr>
            <w:tcW w:w="1546" w:type="dxa"/>
            <w:vAlign w:val="bottom"/>
          </w:tcPr>
          <w:p w14:paraId="08A3D08A" w14:textId="1838E005" w:rsidR="00660329" w:rsidRPr="001E192F" w:rsidRDefault="00660329" w:rsidP="009A2C29">
            <w:pPr>
              <w:pStyle w:val="TableBody"/>
              <w:rPr>
                <w:szCs w:val="24"/>
              </w:rPr>
            </w:pPr>
            <w:r w:rsidRPr="001E192F">
              <w:rPr>
                <w:color w:val="000000"/>
                <w:szCs w:val="24"/>
              </w:rPr>
              <w:t>0.150**</w:t>
            </w:r>
          </w:p>
        </w:tc>
        <w:tc>
          <w:tcPr>
            <w:tcW w:w="1545" w:type="dxa"/>
            <w:vAlign w:val="bottom"/>
          </w:tcPr>
          <w:p w14:paraId="0F83EED7" w14:textId="1037345F" w:rsidR="00660329" w:rsidRPr="001E192F" w:rsidRDefault="00660329" w:rsidP="009A2C29">
            <w:pPr>
              <w:pStyle w:val="TableBody"/>
              <w:rPr>
                <w:szCs w:val="24"/>
              </w:rPr>
            </w:pPr>
            <w:r w:rsidRPr="001E192F">
              <w:rPr>
                <w:color w:val="000000"/>
                <w:szCs w:val="24"/>
              </w:rPr>
              <w:t>-0.339***</w:t>
            </w:r>
          </w:p>
        </w:tc>
        <w:tc>
          <w:tcPr>
            <w:tcW w:w="1546" w:type="dxa"/>
            <w:vAlign w:val="bottom"/>
          </w:tcPr>
          <w:p w14:paraId="536E6421" w14:textId="3A76B680" w:rsidR="00660329" w:rsidRPr="001E192F" w:rsidRDefault="00660329" w:rsidP="009A2C29">
            <w:pPr>
              <w:pStyle w:val="TableBody"/>
              <w:rPr>
                <w:szCs w:val="24"/>
                <w:highlight w:val="yellow"/>
              </w:rPr>
            </w:pPr>
            <w:r w:rsidRPr="001E192F">
              <w:rPr>
                <w:color w:val="000000"/>
                <w:szCs w:val="24"/>
              </w:rPr>
              <w:t>-0.279***</w:t>
            </w:r>
          </w:p>
        </w:tc>
      </w:tr>
      <w:tr w:rsidR="00660329" w:rsidRPr="001E192F" w14:paraId="3493047C" w14:textId="77777777" w:rsidTr="00A01EE9">
        <w:trPr>
          <w:trHeight w:val="276"/>
        </w:trPr>
        <w:tc>
          <w:tcPr>
            <w:tcW w:w="1545" w:type="dxa"/>
            <w:tcBorders>
              <w:bottom w:val="single" w:sz="4" w:space="0" w:color="auto"/>
            </w:tcBorders>
          </w:tcPr>
          <w:p w14:paraId="320F3C25" w14:textId="77777777" w:rsidR="00660329" w:rsidRPr="001E192F" w:rsidRDefault="00660329" w:rsidP="009A2C29">
            <w:pPr>
              <w:pStyle w:val="TableBody"/>
              <w:rPr>
                <w:szCs w:val="24"/>
              </w:rPr>
            </w:pPr>
          </w:p>
        </w:tc>
        <w:tc>
          <w:tcPr>
            <w:tcW w:w="1545" w:type="dxa"/>
            <w:tcBorders>
              <w:bottom w:val="single" w:sz="4" w:space="0" w:color="auto"/>
            </w:tcBorders>
            <w:vAlign w:val="bottom"/>
          </w:tcPr>
          <w:p w14:paraId="0D833268" w14:textId="09CDC852" w:rsidR="00660329" w:rsidRPr="001E192F" w:rsidRDefault="00660329" w:rsidP="009A2C29">
            <w:pPr>
              <w:pStyle w:val="TableBody"/>
              <w:rPr>
                <w:szCs w:val="24"/>
              </w:rPr>
            </w:pPr>
            <w:r w:rsidRPr="001E192F">
              <w:rPr>
                <w:color w:val="000000"/>
                <w:szCs w:val="24"/>
              </w:rPr>
              <w:t>(-0.996)</w:t>
            </w:r>
          </w:p>
        </w:tc>
        <w:tc>
          <w:tcPr>
            <w:tcW w:w="1546" w:type="dxa"/>
            <w:tcBorders>
              <w:bottom w:val="single" w:sz="4" w:space="0" w:color="auto"/>
            </w:tcBorders>
            <w:vAlign w:val="bottom"/>
          </w:tcPr>
          <w:p w14:paraId="7D3186E3" w14:textId="7EA58260" w:rsidR="00660329" w:rsidRPr="001E192F" w:rsidRDefault="00660329" w:rsidP="009A2C29">
            <w:pPr>
              <w:pStyle w:val="TableBody"/>
              <w:rPr>
                <w:szCs w:val="24"/>
              </w:rPr>
            </w:pPr>
            <w:r w:rsidRPr="001E192F">
              <w:rPr>
                <w:color w:val="000000"/>
                <w:szCs w:val="24"/>
              </w:rPr>
              <w:t>(2.085)</w:t>
            </w:r>
          </w:p>
        </w:tc>
        <w:tc>
          <w:tcPr>
            <w:tcW w:w="1545" w:type="dxa"/>
            <w:tcBorders>
              <w:bottom w:val="single" w:sz="4" w:space="0" w:color="auto"/>
            </w:tcBorders>
            <w:vAlign w:val="bottom"/>
          </w:tcPr>
          <w:p w14:paraId="70109AC3" w14:textId="20773E7C" w:rsidR="00660329" w:rsidRPr="001E192F" w:rsidRDefault="00660329" w:rsidP="009A2C29">
            <w:pPr>
              <w:pStyle w:val="TableBody"/>
              <w:rPr>
                <w:szCs w:val="24"/>
              </w:rPr>
            </w:pPr>
            <w:r w:rsidRPr="001E192F">
              <w:rPr>
                <w:color w:val="000000"/>
                <w:szCs w:val="24"/>
              </w:rPr>
              <w:t>(2.450)</w:t>
            </w:r>
          </w:p>
        </w:tc>
        <w:tc>
          <w:tcPr>
            <w:tcW w:w="1546" w:type="dxa"/>
            <w:tcBorders>
              <w:bottom w:val="single" w:sz="4" w:space="0" w:color="auto"/>
            </w:tcBorders>
            <w:vAlign w:val="bottom"/>
          </w:tcPr>
          <w:p w14:paraId="480E250C" w14:textId="653CFDB3" w:rsidR="00660329" w:rsidRPr="001E192F" w:rsidRDefault="00660329" w:rsidP="009A2C29">
            <w:pPr>
              <w:pStyle w:val="TableBody"/>
              <w:rPr>
                <w:szCs w:val="24"/>
              </w:rPr>
            </w:pPr>
            <w:r w:rsidRPr="001E192F">
              <w:rPr>
                <w:color w:val="000000"/>
                <w:szCs w:val="24"/>
              </w:rPr>
              <w:t>(2.256)</w:t>
            </w:r>
          </w:p>
        </w:tc>
        <w:tc>
          <w:tcPr>
            <w:tcW w:w="1545" w:type="dxa"/>
            <w:tcBorders>
              <w:bottom w:val="single" w:sz="4" w:space="0" w:color="auto"/>
            </w:tcBorders>
            <w:vAlign w:val="bottom"/>
          </w:tcPr>
          <w:p w14:paraId="61B02116" w14:textId="25D63446" w:rsidR="00660329" w:rsidRPr="001E192F" w:rsidRDefault="00660329" w:rsidP="009A2C29">
            <w:pPr>
              <w:pStyle w:val="TableBody"/>
              <w:rPr>
                <w:szCs w:val="24"/>
              </w:rPr>
            </w:pPr>
            <w:r w:rsidRPr="001E192F">
              <w:rPr>
                <w:color w:val="000000"/>
                <w:szCs w:val="24"/>
              </w:rPr>
              <w:t>(-4.796)</w:t>
            </w:r>
          </w:p>
        </w:tc>
        <w:tc>
          <w:tcPr>
            <w:tcW w:w="1546" w:type="dxa"/>
            <w:tcBorders>
              <w:bottom w:val="single" w:sz="4" w:space="0" w:color="auto"/>
            </w:tcBorders>
            <w:vAlign w:val="bottom"/>
          </w:tcPr>
          <w:p w14:paraId="3CF24021" w14:textId="0E5C5FC3" w:rsidR="00660329" w:rsidRPr="001E192F" w:rsidRDefault="00660329" w:rsidP="009A2C29">
            <w:pPr>
              <w:pStyle w:val="TableBody"/>
              <w:rPr>
                <w:szCs w:val="24"/>
                <w:highlight w:val="yellow"/>
              </w:rPr>
            </w:pPr>
            <w:r w:rsidRPr="001E192F">
              <w:rPr>
                <w:color w:val="000000"/>
                <w:szCs w:val="24"/>
              </w:rPr>
              <w:t>(-2.784)</w:t>
            </w:r>
          </w:p>
        </w:tc>
      </w:tr>
      <w:tr w:rsidR="004633E6" w:rsidRPr="001E192F" w14:paraId="6D3BD10A" w14:textId="77777777" w:rsidTr="00C000B0">
        <w:tc>
          <w:tcPr>
            <w:tcW w:w="10818" w:type="dxa"/>
            <w:gridSpan w:val="7"/>
            <w:tcBorders>
              <w:top w:val="single" w:sz="4" w:space="0" w:color="auto"/>
            </w:tcBorders>
          </w:tcPr>
          <w:p w14:paraId="071FE25D" w14:textId="31C3D32C" w:rsidR="004633E6" w:rsidRPr="001E192F" w:rsidRDefault="004633E6" w:rsidP="009A2C29">
            <w:pPr>
              <w:spacing w:after="0" w:line="240" w:lineRule="auto"/>
              <w:rPr>
                <w:szCs w:val="24"/>
              </w:rPr>
            </w:pPr>
            <w:r w:rsidRPr="001E192F">
              <w:rPr>
                <w:szCs w:val="24"/>
              </w:rPr>
              <w:t>In this table, we report the portfolio alphas (×100) from our benchmark methodology and several alternative choices for equal-weighted idiosyncratic volatility-sorted portfolios</w:t>
            </w:r>
            <w:r w:rsidR="00993792" w:rsidRPr="001E192F">
              <w:rPr>
                <w:szCs w:val="24"/>
              </w:rPr>
              <w:t xml:space="preserve">.  </w:t>
            </w:r>
            <w:r w:rsidRPr="001E192F">
              <w:rPr>
                <w:szCs w:val="24"/>
              </w:rPr>
              <w:t>See Table 1 for discussion of our estimate of idiosyncratic volatility, our method for estimating alpha, and the methodological choices</w:t>
            </w:r>
            <w:r w:rsidR="00021A8B" w:rsidRPr="001E192F">
              <w:rPr>
                <w:szCs w:val="24"/>
              </w:rPr>
              <w:t xml:space="preserve"> used</w:t>
            </w:r>
            <w:r w:rsidRPr="001E192F">
              <w:rPr>
                <w:szCs w:val="24"/>
              </w:rPr>
              <w:t xml:space="preserve"> to form our benchmark estimates</w:t>
            </w:r>
            <w:r w:rsidR="00993792" w:rsidRPr="001E192F">
              <w:rPr>
                <w:szCs w:val="24"/>
              </w:rPr>
              <w:t xml:space="preserve">.  </w:t>
            </w:r>
            <w:r w:rsidRPr="001E192F">
              <w:rPr>
                <w:szCs w:val="24"/>
              </w:rPr>
              <w:t>In the first column of the table, we describe the methodological alternative choice for the corresponding set of alphas</w:t>
            </w:r>
            <w:r w:rsidR="00993792" w:rsidRPr="001E192F">
              <w:rPr>
                <w:szCs w:val="24"/>
              </w:rPr>
              <w:t xml:space="preserve">. </w:t>
            </w:r>
            <w:r w:rsidR="00F05C2D">
              <w:rPr>
                <w:szCs w:val="24"/>
              </w:rPr>
              <w:t xml:space="preserve"> </w:t>
            </w:r>
            <w:r w:rsidR="00021A8B" w:rsidRPr="001E192F">
              <w:rPr>
                <w:szCs w:val="24"/>
              </w:rPr>
              <w:t>In the ‘Benchmark’ row, we reproduce the alphas from Table 1</w:t>
            </w:r>
            <w:r w:rsidR="00E65394" w:rsidRPr="001E192F">
              <w:rPr>
                <w:szCs w:val="24"/>
              </w:rPr>
              <w:t xml:space="preserve"> except we use equal-weighted rather than value-weighted portfolios</w:t>
            </w:r>
            <w:r w:rsidR="00021A8B" w:rsidRPr="001E192F">
              <w:rPr>
                <w:szCs w:val="24"/>
              </w:rPr>
              <w:t>.</w:t>
            </w:r>
            <w:r w:rsidR="00993792" w:rsidRPr="001E192F">
              <w:rPr>
                <w:szCs w:val="24"/>
              </w:rPr>
              <w:t xml:space="preserve">  </w:t>
            </w:r>
            <w:r w:rsidRPr="001E192F">
              <w:rPr>
                <w:szCs w:val="24"/>
              </w:rPr>
              <w:t>See Table 2 for discussion of our alternative methodological choices</w:t>
            </w:r>
            <w:r w:rsidR="00993792" w:rsidRPr="001E192F">
              <w:rPr>
                <w:szCs w:val="24"/>
              </w:rPr>
              <w:t xml:space="preserve">.  </w:t>
            </w:r>
            <w:r w:rsidR="00021A8B" w:rsidRPr="001E192F">
              <w:rPr>
                <w:szCs w:val="24"/>
              </w:rPr>
              <w:t>We report the alphas in the first row and the OLS t-statistics in parentheses in the second row.  *</w:t>
            </w:r>
            <w:r w:rsidR="00E65394" w:rsidRPr="001E192F">
              <w:rPr>
                <w:szCs w:val="24"/>
              </w:rPr>
              <w:t>, *</w:t>
            </w:r>
            <w:r w:rsidR="00021A8B" w:rsidRPr="001E192F">
              <w:rPr>
                <w:szCs w:val="24"/>
              </w:rPr>
              <w:t xml:space="preserve">*, *** </w:t>
            </w:r>
            <w:proofErr w:type="gramStart"/>
            <w:r w:rsidR="00021A8B" w:rsidRPr="001E192F">
              <w:rPr>
                <w:szCs w:val="24"/>
              </w:rPr>
              <w:t>denotes</w:t>
            </w:r>
            <w:proofErr w:type="gramEnd"/>
            <w:r w:rsidR="00021A8B" w:rsidRPr="001E192F">
              <w:rPr>
                <w:szCs w:val="24"/>
              </w:rPr>
              <w:t xml:space="preserve"> statistical significance at the </w:t>
            </w:r>
            <w:r w:rsidR="00E65394" w:rsidRPr="001E192F">
              <w:rPr>
                <w:szCs w:val="24"/>
              </w:rPr>
              <w:t xml:space="preserve">10%, </w:t>
            </w:r>
            <w:r w:rsidR="00021A8B" w:rsidRPr="001E192F">
              <w:rPr>
                <w:szCs w:val="24"/>
              </w:rPr>
              <w:t>5% and 1% levels, respectively.</w:t>
            </w:r>
          </w:p>
        </w:tc>
      </w:tr>
    </w:tbl>
    <w:p w14:paraId="32E274EB" w14:textId="33E91C90" w:rsidR="009078C4" w:rsidRPr="001E192F" w:rsidRDefault="009078C4" w:rsidP="009A2C29">
      <w:pPr>
        <w:pStyle w:val="Mydefault"/>
        <w:spacing w:line="240" w:lineRule="auto"/>
      </w:pPr>
    </w:p>
    <w:sectPr w:rsidR="009078C4" w:rsidRPr="001E192F" w:rsidSect="003419EC">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D452E" w14:textId="77777777" w:rsidR="00337475" w:rsidRDefault="00337475" w:rsidP="00053B4B">
      <w:pPr>
        <w:spacing w:after="0" w:line="240" w:lineRule="auto"/>
      </w:pPr>
      <w:r>
        <w:separator/>
      </w:r>
    </w:p>
  </w:endnote>
  <w:endnote w:type="continuationSeparator" w:id="0">
    <w:p w14:paraId="04C545F9" w14:textId="77777777" w:rsidR="00337475" w:rsidRDefault="00337475" w:rsidP="00053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912658"/>
      <w:docPartObj>
        <w:docPartGallery w:val="Page Numbers (Bottom of Page)"/>
        <w:docPartUnique/>
      </w:docPartObj>
    </w:sdtPr>
    <w:sdtEndPr>
      <w:rPr>
        <w:noProof/>
      </w:rPr>
    </w:sdtEndPr>
    <w:sdtContent>
      <w:p w14:paraId="0C0891D8" w14:textId="20A93268" w:rsidR="00337475" w:rsidRDefault="00337475">
        <w:pPr>
          <w:pStyle w:val="Footer"/>
          <w:jc w:val="right"/>
        </w:pPr>
        <w:r>
          <w:fldChar w:fldCharType="begin"/>
        </w:r>
        <w:r>
          <w:instrText xml:space="preserve"> PAGE   \* MERGEFORMAT </w:instrText>
        </w:r>
        <w:r>
          <w:fldChar w:fldCharType="separate"/>
        </w:r>
        <w:r w:rsidR="00D731E8">
          <w:rPr>
            <w:noProof/>
          </w:rPr>
          <w:t>12</w:t>
        </w:r>
        <w:r>
          <w:rPr>
            <w:noProof/>
          </w:rPr>
          <w:fldChar w:fldCharType="end"/>
        </w:r>
      </w:p>
    </w:sdtContent>
  </w:sdt>
  <w:p w14:paraId="0238996E" w14:textId="77777777" w:rsidR="00337475" w:rsidRDefault="003374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5300E" w14:textId="77777777" w:rsidR="00337475" w:rsidRDefault="00337475" w:rsidP="00053B4B">
      <w:pPr>
        <w:spacing w:after="0" w:line="240" w:lineRule="auto"/>
      </w:pPr>
      <w:r>
        <w:separator/>
      </w:r>
    </w:p>
  </w:footnote>
  <w:footnote w:type="continuationSeparator" w:id="0">
    <w:p w14:paraId="0428A0EB" w14:textId="77777777" w:rsidR="00337475" w:rsidRDefault="00337475" w:rsidP="00053B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B4B"/>
    <w:rsid w:val="00013C57"/>
    <w:rsid w:val="000146E7"/>
    <w:rsid w:val="0001511D"/>
    <w:rsid w:val="00021A8B"/>
    <w:rsid w:val="00024349"/>
    <w:rsid w:val="00025401"/>
    <w:rsid w:val="00033FBB"/>
    <w:rsid w:val="000434D8"/>
    <w:rsid w:val="00052F0A"/>
    <w:rsid w:val="00053B4B"/>
    <w:rsid w:val="00073F53"/>
    <w:rsid w:val="00080ADF"/>
    <w:rsid w:val="00083E1E"/>
    <w:rsid w:val="000A4AF4"/>
    <w:rsid w:val="000B025D"/>
    <w:rsid w:val="000B2557"/>
    <w:rsid w:val="000C6EF9"/>
    <w:rsid w:val="0010541D"/>
    <w:rsid w:val="001128A3"/>
    <w:rsid w:val="00114677"/>
    <w:rsid w:val="00116542"/>
    <w:rsid w:val="00121C8F"/>
    <w:rsid w:val="001278EF"/>
    <w:rsid w:val="0013100E"/>
    <w:rsid w:val="00131E75"/>
    <w:rsid w:val="001328E0"/>
    <w:rsid w:val="001404CC"/>
    <w:rsid w:val="0017059C"/>
    <w:rsid w:val="00174BFA"/>
    <w:rsid w:val="00182983"/>
    <w:rsid w:val="00182AA8"/>
    <w:rsid w:val="00192304"/>
    <w:rsid w:val="001A290F"/>
    <w:rsid w:val="001B7AC0"/>
    <w:rsid w:val="001C33C8"/>
    <w:rsid w:val="001E192F"/>
    <w:rsid w:val="001F79C0"/>
    <w:rsid w:val="00201DB5"/>
    <w:rsid w:val="00213AB3"/>
    <w:rsid w:val="00220AF9"/>
    <w:rsid w:val="00220BF4"/>
    <w:rsid w:val="00234F41"/>
    <w:rsid w:val="0024787C"/>
    <w:rsid w:val="00272814"/>
    <w:rsid w:val="00280533"/>
    <w:rsid w:val="002941E6"/>
    <w:rsid w:val="00297B19"/>
    <w:rsid w:val="002A36D5"/>
    <w:rsid w:val="002A3FA1"/>
    <w:rsid w:val="002A4FEF"/>
    <w:rsid w:val="002B1767"/>
    <w:rsid w:val="002B6D84"/>
    <w:rsid w:val="002C6D0C"/>
    <w:rsid w:val="002E005B"/>
    <w:rsid w:val="002E4347"/>
    <w:rsid w:val="00315C3B"/>
    <w:rsid w:val="00325CAC"/>
    <w:rsid w:val="00326DBC"/>
    <w:rsid w:val="00337475"/>
    <w:rsid w:val="00337ADD"/>
    <w:rsid w:val="003419EC"/>
    <w:rsid w:val="00341DCA"/>
    <w:rsid w:val="0035159B"/>
    <w:rsid w:val="0035285D"/>
    <w:rsid w:val="00371895"/>
    <w:rsid w:val="0039169A"/>
    <w:rsid w:val="00395601"/>
    <w:rsid w:val="003A5728"/>
    <w:rsid w:val="003B0619"/>
    <w:rsid w:val="003B0951"/>
    <w:rsid w:val="003B1EB5"/>
    <w:rsid w:val="003D4ED5"/>
    <w:rsid w:val="003F6142"/>
    <w:rsid w:val="00400010"/>
    <w:rsid w:val="004018CD"/>
    <w:rsid w:val="00404F34"/>
    <w:rsid w:val="0042001A"/>
    <w:rsid w:val="00424EEC"/>
    <w:rsid w:val="00433D47"/>
    <w:rsid w:val="0043602B"/>
    <w:rsid w:val="004435E3"/>
    <w:rsid w:val="004538D7"/>
    <w:rsid w:val="00453D2D"/>
    <w:rsid w:val="004633E6"/>
    <w:rsid w:val="00465B48"/>
    <w:rsid w:val="00477DA9"/>
    <w:rsid w:val="004823C7"/>
    <w:rsid w:val="00484AD4"/>
    <w:rsid w:val="0049451A"/>
    <w:rsid w:val="00497157"/>
    <w:rsid w:val="004A2399"/>
    <w:rsid w:val="004A4974"/>
    <w:rsid w:val="004B5AFF"/>
    <w:rsid w:val="004C39FA"/>
    <w:rsid w:val="004D0685"/>
    <w:rsid w:val="004D2757"/>
    <w:rsid w:val="004D7E32"/>
    <w:rsid w:val="004F3B73"/>
    <w:rsid w:val="00512082"/>
    <w:rsid w:val="00516954"/>
    <w:rsid w:val="00521CBA"/>
    <w:rsid w:val="00525B92"/>
    <w:rsid w:val="00525F4C"/>
    <w:rsid w:val="00530EBF"/>
    <w:rsid w:val="00537FDB"/>
    <w:rsid w:val="0057116A"/>
    <w:rsid w:val="00576344"/>
    <w:rsid w:val="00581517"/>
    <w:rsid w:val="00593C8D"/>
    <w:rsid w:val="005A2200"/>
    <w:rsid w:val="005C5062"/>
    <w:rsid w:val="005E2896"/>
    <w:rsid w:val="005E3DBF"/>
    <w:rsid w:val="00611BC5"/>
    <w:rsid w:val="00625354"/>
    <w:rsid w:val="006324FB"/>
    <w:rsid w:val="00660329"/>
    <w:rsid w:val="00662192"/>
    <w:rsid w:val="00666FE2"/>
    <w:rsid w:val="00671FBF"/>
    <w:rsid w:val="00672657"/>
    <w:rsid w:val="006803AD"/>
    <w:rsid w:val="00680C53"/>
    <w:rsid w:val="006871B8"/>
    <w:rsid w:val="0069607A"/>
    <w:rsid w:val="006974EA"/>
    <w:rsid w:val="006C480F"/>
    <w:rsid w:val="006E34D9"/>
    <w:rsid w:val="006F0088"/>
    <w:rsid w:val="0070036B"/>
    <w:rsid w:val="00702FEF"/>
    <w:rsid w:val="007037D3"/>
    <w:rsid w:val="00722C6F"/>
    <w:rsid w:val="00733B5B"/>
    <w:rsid w:val="0073657F"/>
    <w:rsid w:val="00760C07"/>
    <w:rsid w:val="007702B6"/>
    <w:rsid w:val="00774217"/>
    <w:rsid w:val="007747FB"/>
    <w:rsid w:val="007A004C"/>
    <w:rsid w:val="007C3502"/>
    <w:rsid w:val="007E4608"/>
    <w:rsid w:val="007F42BE"/>
    <w:rsid w:val="007F650D"/>
    <w:rsid w:val="00822944"/>
    <w:rsid w:val="00832A2F"/>
    <w:rsid w:val="008548FE"/>
    <w:rsid w:val="008654F8"/>
    <w:rsid w:val="00873061"/>
    <w:rsid w:val="00875308"/>
    <w:rsid w:val="00875881"/>
    <w:rsid w:val="00890E02"/>
    <w:rsid w:val="0089445C"/>
    <w:rsid w:val="008A4FC3"/>
    <w:rsid w:val="008A6015"/>
    <w:rsid w:val="008B6419"/>
    <w:rsid w:val="008C4D75"/>
    <w:rsid w:val="008C7FC4"/>
    <w:rsid w:val="008D44CE"/>
    <w:rsid w:val="008D764E"/>
    <w:rsid w:val="00904B6B"/>
    <w:rsid w:val="0090529F"/>
    <w:rsid w:val="009078C4"/>
    <w:rsid w:val="009128E1"/>
    <w:rsid w:val="009148AE"/>
    <w:rsid w:val="0091503A"/>
    <w:rsid w:val="00941F7A"/>
    <w:rsid w:val="00947984"/>
    <w:rsid w:val="00960A12"/>
    <w:rsid w:val="00993792"/>
    <w:rsid w:val="009A2C29"/>
    <w:rsid w:val="009A6BD8"/>
    <w:rsid w:val="009B5D28"/>
    <w:rsid w:val="009C14F0"/>
    <w:rsid w:val="009C68AB"/>
    <w:rsid w:val="009D3B3C"/>
    <w:rsid w:val="00A0129B"/>
    <w:rsid w:val="00A01EE9"/>
    <w:rsid w:val="00A334F0"/>
    <w:rsid w:val="00A401A9"/>
    <w:rsid w:val="00A4179C"/>
    <w:rsid w:val="00A44226"/>
    <w:rsid w:val="00A45064"/>
    <w:rsid w:val="00A82675"/>
    <w:rsid w:val="00A91D88"/>
    <w:rsid w:val="00AA14B0"/>
    <w:rsid w:val="00AA4F04"/>
    <w:rsid w:val="00AA54B9"/>
    <w:rsid w:val="00AC18D1"/>
    <w:rsid w:val="00AD0534"/>
    <w:rsid w:val="00AE2C13"/>
    <w:rsid w:val="00AF13F1"/>
    <w:rsid w:val="00B0114A"/>
    <w:rsid w:val="00B06274"/>
    <w:rsid w:val="00B14A7E"/>
    <w:rsid w:val="00B22C7D"/>
    <w:rsid w:val="00B41D9A"/>
    <w:rsid w:val="00B501E5"/>
    <w:rsid w:val="00B546CB"/>
    <w:rsid w:val="00B57034"/>
    <w:rsid w:val="00B628D8"/>
    <w:rsid w:val="00B82AB8"/>
    <w:rsid w:val="00BA3E1D"/>
    <w:rsid w:val="00BC5C85"/>
    <w:rsid w:val="00BF1CDC"/>
    <w:rsid w:val="00C000B0"/>
    <w:rsid w:val="00C0318C"/>
    <w:rsid w:val="00C03E87"/>
    <w:rsid w:val="00C24E40"/>
    <w:rsid w:val="00C26D0B"/>
    <w:rsid w:val="00C42A11"/>
    <w:rsid w:val="00C44CAE"/>
    <w:rsid w:val="00C6181A"/>
    <w:rsid w:val="00C623DF"/>
    <w:rsid w:val="00C67556"/>
    <w:rsid w:val="00C85314"/>
    <w:rsid w:val="00C9212F"/>
    <w:rsid w:val="00CA28BC"/>
    <w:rsid w:val="00CB2AAF"/>
    <w:rsid w:val="00CE36B9"/>
    <w:rsid w:val="00CE7869"/>
    <w:rsid w:val="00D12CDA"/>
    <w:rsid w:val="00D22175"/>
    <w:rsid w:val="00D22401"/>
    <w:rsid w:val="00D40587"/>
    <w:rsid w:val="00D40AEC"/>
    <w:rsid w:val="00D425F5"/>
    <w:rsid w:val="00D43A74"/>
    <w:rsid w:val="00D44AD3"/>
    <w:rsid w:val="00D4628F"/>
    <w:rsid w:val="00D507DF"/>
    <w:rsid w:val="00D71625"/>
    <w:rsid w:val="00D731E8"/>
    <w:rsid w:val="00D80813"/>
    <w:rsid w:val="00D84B79"/>
    <w:rsid w:val="00D86376"/>
    <w:rsid w:val="00D867A3"/>
    <w:rsid w:val="00D91590"/>
    <w:rsid w:val="00DA0A70"/>
    <w:rsid w:val="00DC217B"/>
    <w:rsid w:val="00DC3E64"/>
    <w:rsid w:val="00DD79D3"/>
    <w:rsid w:val="00E03A2C"/>
    <w:rsid w:val="00E0576B"/>
    <w:rsid w:val="00E05A9A"/>
    <w:rsid w:val="00E25B8D"/>
    <w:rsid w:val="00E27035"/>
    <w:rsid w:val="00E3159F"/>
    <w:rsid w:val="00E4378E"/>
    <w:rsid w:val="00E50414"/>
    <w:rsid w:val="00E56DE6"/>
    <w:rsid w:val="00E609D3"/>
    <w:rsid w:val="00E61E3D"/>
    <w:rsid w:val="00E65394"/>
    <w:rsid w:val="00EA5C3F"/>
    <w:rsid w:val="00EC5536"/>
    <w:rsid w:val="00EC6108"/>
    <w:rsid w:val="00EC7714"/>
    <w:rsid w:val="00ED1F73"/>
    <w:rsid w:val="00ED786E"/>
    <w:rsid w:val="00EE1D30"/>
    <w:rsid w:val="00F02D94"/>
    <w:rsid w:val="00F05C2D"/>
    <w:rsid w:val="00F06EB9"/>
    <w:rsid w:val="00F076DB"/>
    <w:rsid w:val="00F204E7"/>
    <w:rsid w:val="00F3560E"/>
    <w:rsid w:val="00F43872"/>
    <w:rsid w:val="00F51675"/>
    <w:rsid w:val="00F55953"/>
    <w:rsid w:val="00F70AE8"/>
    <w:rsid w:val="00F77E93"/>
    <w:rsid w:val="00F81150"/>
    <w:rsid w:val="00FA087D"/>
    <w:rsid w:val="00FB0037"/>
    <w:rsid w:val="00FC4846"/>
    <w:rsid w:val="00FC56E3"/>
    <w:rsid w:val="00FE57CE"/>
    <w:rsid w:val="00FF7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DF86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7FB"/>
    <w:pPr>
      <w:spacing w:after="240" w:line="480" w:lineRule="auto"/>
      <w:ind w:firstLine="720"/>
      <w:contextualSpacing/>
      <w:jc w:val="both"/>
    </w:pPr>
    <w:rPr>
      <w:rFonts w:ascii="Times New Roman" w:eastAsiaTheme="minorHAnsi" w:hAnsi="Times New Roman" w:cs="Times New Roman"/>
      <w:szCs w:val="20"/>
    </w:rPr>
  </w:style>
  <w:style w:type="paragraph" w:styleId="Heading1">
    <w:name w:val="heading 1"/>
    <w:basedOn w:val="Normal"/>
    <w:next w:val="Normal"/>
    <w:link w:val="Heading1Char"/>
    <w:uiPriority w:val="9"/>
    <w:qFormat/>
    <w:rsid w:val="000A4AF4"/>
    <w:pPr>
      <w:keepNext/>
      <w:keepLines/>
      <w:spacing w:line="240" w:lineRule="auto"/>
      <w:ind w:firstLine="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419EC"/>
    <w:pPr>
      <w:keepNext/>
      <w:spacing w:after="0" w:line="240" w:lineRule="auto"/>
      <w:ind w:hanging="18"/>
      <w:jc w:val="center"/>
      <w:outlineLvl w:val="1"/>
    </w:pPr>
    <w:rPr>
      <w:b/>
      <w:szCs w:val="24"/>
    </w:rPr>
  </w:style>
  <w:style w:type="paragraph" w:styleId="Heading3">
    <w:name w:val="heading 3"/>
    <w:basedOn w:val="Normal"/>
    <w:next w:val="Normal"/>
    <w:link w:val="Heading3Char"/>
    <w:uiPriority w:val="9"/>
    <w:unhideWhenUsed/>
    <w:qFormat/>
    <w:rsid w:val="00F05C2D"/>
    <w:pPr>
      <w:keepNext/>
      <w:spacing w:after="0" w:line="240" w:lineRule="auto"/>
      <w:ind w:firstLine="0"/>
      <w:jc w:val="center"/>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default">
    <w:name w:val="My default"/>
    <w:basedOn w:val="Normal"/>
    <w:autoRedefine/>
    <w:rsid w:val="007747FB"/>
    <w:pPr>
      <w:tabs>
        <w:tab w:val="left" w:pos="720"/>
      </w:tabs>
      <w:spacing w:after="0"/>
    </w:pPr>
    <w:rPr>
      <w:b/>
      <w:szCs w:val="24"/>
    </w:rPr>
  </w:style>
  <w:style w:type="paragraph" w:styleId="Footer">
    <w:name w:val="footer"/>
    <w:basedOn w:val="Normal"/>
    <w:link w:val="FooterChar"/>
    <w:uiPriority w:val="99"/>
    <w:unhideWhenUsed/>
    <w:rsid w:val="00053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B4B"/>
    <w:rPr>
      <w:rFonts w:ascii="Times New Roman" w:eastAsiaTheme="minorHAnsi" w:hAnsi="Times New Roman" w:cs="Times New Roman"/>
      <w:szCs w:val="20"/>
    </w:rPr>
  </w:style>
  <w:style w:type="paragraph" w:styleId="FootnoteText">
    <w:name w:val="footnote text"/>
    <w:basedOn w:val="Normal"/>
    <w:link w:val="FootnoteTextChar"/>
    <w:uiPriority w:val="99"/>
    <w:semiHidden/>
    <w:unhideWhenUsed/>
    <w:rsid w:val="00053B4B"/>
    <w:pPr>
      <w:spacing w:after="0" w:line="240" w:lineRule="auto"/>
    </w:pPr>
    <w:rPr>
      <w:sz w:val="20"/>
    </w:rPr>
  </w:style>
  <w:style w:type="character" w:customStyle="1" w:styleId="FootnoteTextChar">
    <w:name w:val="Footnote Text Char"/>
    <w:basedOn w:val="DefaultParagraphFont"/>
    <w:link w:val="FootnoteText"/>
    <w:uiPriority w:val="99"/>
    <w:semiHidden/>
    <w:rsid w:val="00053B4B"/>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053B4B"/>
    <w:rPr>
      <w:vertAlign w:val="superscript"/>
    </w:rPr>
  </w:style>
  <w:style w:type="paragraph" w:customStyle="1" w:styleId="MYstyle">
    <w:name w:val="MY style"/>
    <w:basedOn w:val="NoSpacing"/>
    <w:rsid w:val="00053B4B"/>
    <w:pPr>
      <w:contextualSpacing/>
    </w:pPr>
    <w:rPr>
      <w:rFonts w:eastAsia="Times New Roman"/>
      <w:szCs w:val="22"/>
      <w:lang w:bidi="en-US"/>
    </w:rPr>
  </w:style>
  <w:style w:type="paragraph" w:styleId="NoSpacing">
    <w:name w:val="No Spacing"/>
    <w:aliases w:val="My Reference"/>
    <w:uiPriority w:val="1"/>
    <w:qFormat/>
    <w:rsid w:val="00C000B0"/>
    <w:pPr>
      <w:spacing w:after="120"/>
      <w:ind w:left="720" w:hanging="720"/>
      <w:jc w:val="both"/>
    </w:pPr>
    <w:rPr>
      <w:rFonts w:ascii="Times New Roman" w:eastAsiaTheme="minorHAnsi" w:hAnsi="Times New Roman" w:cs="Times New Roman"/>
      <w:szCs w:val="20"/>
    </w:rPr>
  </w:style>
  <w:style w:type="paragraph" w:styleId="Header">
    <w:name w:val="header"/>
    <w:basedOn w:val="Normal"/>
    <w:link w:val="HeaderChar"/>
    <w:uiPriority w:val="99"/>
    <w:unhideWhenUsed/>
    <w:rsid w:val="00890E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890E02"/>
    <w:rPr>
      <w:rFonts w:ascii="Times New Roman" w:eastAsiaTheme="minorHAnsi" w:hAnsi="Times New Roman" w:cs="Times New Roman"/>
      <w:szCs w:val="20"/>
    </w:rPr>
  </w:style>
  <w:style w:type="table" w:styleId="TableGrid">
    <w:name w:val="Table Grid"/>
    <w:basedOn w:val="TableNormal"/>
    <w:uiPriority w:val="39"/>
    <w:rsid w:val="00465B48"/>
    <w:pPr>
      <w:jc w:val="both"/>
    </w:pPr>
    <w:rPr>
      <w:rFonts w:ascii="Times New Roman" w:eastAsiaTheme="minorHAnsi" w:hAnsi="Times New Roman" w:cs="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0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AF9"/>
    <w:rPr>
      <w:rFonts w:ascii="Segoe UI" w:eastAsiaTheme="minorHAnsi" w:hAnsi="Segoe UI" w:cs="Segoe UI"/>
      <w:sz w:val="18"/>
      <w:szCs w:val="18"/>
    </w:rPr>
  </w:style>
  <w:style w:type="paragraph" w:styleId="Title">
    <w:name w:val="Title"/>
    <w:basedOn w:val="Normal"/>
    <w:next w:val="Normal"/>
    <w:link w:val="TitleChar"/>
    <w:uiPriority w:val="10"/>
    <w:qFormat/>
    <w:rsid w:val="007747FB"/>
    <w:pPr>
      <w:spacing w:line="240" w:lineRule="auto"/>
      <w:ind w:firstLine="0"/>
    </w:pPr>
    <w:rPr>
      <w:rFonts w:eastAsiaTheme="majorEastAsia" w:cstheme="majorBidi"/>
      <w:b/>
      <w:spacing w:val="-10"/>
      <w:kern w:val="28"/>
      <w:szCs w:val="56"/>
    </w:rPr>
  </w:style>
  <w:style w:type="character" w:customStyle="1" w:styleId="TitleChar">
    <w:name w:val="Title Char"/>
    <w:basedOn w:val="DefaultParagraphFont"/>
    <w:link w:val="Title"/>
    <w:uiPriority w:val="10"/>
    <w:rsid w:val="007747FB"/>
    <w:rPr>
      <w:rFonts w:ascii="Times New Roman" w:eastAsiaTheme="majorEastAsia" w:hAnsi="Times New Roman" w:cstheme="majorBidi"/>
      <w:b/>
      <w:spacing w:val="-10"/>
      <w:kern w:val="28"/>
      <w:szCs w:val="56"/>
    </w:rPr>
  </w:style>
  <w:style w:type="paragraph" w:styleId="Subtitle">
    <w:name w:val="Subtitle"/>
    <w:basedOn w:val="Normal"/>
    <w:next w:val="Normal"/>
    <w:link w:val="SubtitleChar"/>
    <w:uiPriority w:val="11"/>
    <w:qFormat/>
    <w:rsid w:val="000A4AF4"/>
    <w:pPr>
      <w:numPr>
        <w:ilvl w:val="1"/>
      </w:numPr>
      <w:spacing w:after="0"/>
      <w:ind w:firstLine="720"/>
      <w:jc w:val="left"/>
    </w:pPr>
    <w:rPr>
      <w:rFonts w:eastAsiaTheme="minorEastAsia" w:cstheme="minorBidi"/>
      <w:i/>
      <w:szCs w:val="22"/>
    </w:rPr>
  </w:style>
  <w:style w:type="character" w:customStyle="1" w:styleId="SubtitleChar">
    <w:name w:val="Subtitle Char"/>
    <w:basedOn w:val="DefaultParagraphFont"/>
    <w:link w:val="Subtitle"/>
    <w:uiPriority w:val="11"/>
    <w:rsid w:val="000A4AF4"/>
    <w:rPr>
      <w:rFonts w:ascii="Times New Roman" w:hAnsi="Times New Roman"/>
      <w:i/>
      <w:szCs w:val="22"/>
    </w:rPr>
  </w:style>
  <w:style w:type="character" w:styleId="SubtleEmphasis">
    <w:name w:val="Subtle Emphasis"/>
    <w:basedOn w:val="DefaultParagraphFont"/>
    <w:uiPriority w:val="19"/>
    <w:qFormat/>
    <w:rsid w:val="000A4AF4"/>
    <w:rPr>
      <w:i/>
      <w:iCs/>
      <w:color w:val="404040" w:themeColor="text1" w:themeTint="BF"/>
    </w:rPr>
  </w:style>
  <w:style w:type="character" w:customStyle="1" w:styleId="Heading1Char">
    <w:name w:val="Heading 1 Char"/>
    <w:basedOn w:val="DefaultParagraphFont"/>
    <w:link w:val="Heading1"/>
    <w:uiPriority w:val="9"/>
    <w:rsid w:val="000A4AF4"/>
    <w:rPr>
      <w:rFonts w:ascii="Times New Roman" w:eastAsiaTheme="majorEastAsia" w:hAnsi="Times New Roman" w:cstheme="majorBidi"/>
      <w:b/>
      <w:sz w:val="32"/>
      <w:szCs w:val="32"/>
    </w:rPr>
  </w:style>
  <w:style w:type="character" w:styleId="SubtleReference">
    <w:name w:val="Subtle Reference"/>
    <w:aliases w:val="Reference"/>
    <w:uiPriority w:val="31"/>
    <w:qFormat/>
    <w:rsid w:val="000A4AF4"/>
    <w:rPr>
      <w:rFonts w:ascii="Times New Roman" w:hAnsi="Times New Roman"/>
      <w:smallCaps/>
      <w:color w:val="auto"/>
      <w:sz w:val="24"/>
    </w:rPr>
  </w:style>
  <w:style w:type="paragraph" w:customStyle="1" w:styleId="TableBody">
    <w:name w:val="Table Body"/>
    <w:basedOn w:val="Normal"/>
    <w:qFormat/>
    <w:rsid w:val="00C000B0"/>
    <w:pPr>
      <w:tabs>
        <w:tab w:val="decimal" w:pos="360"/>
      </w:tabs>
      <w:spacing w:after="0" w:line="240" w:lineRule="auto"/>
      <w:ind w:firstLine="0"/>
    </w:pPr>
  </w:style>
  <w:style w:type="character" w:styleId="CommentReference">
    <w:name w:val="annotation reference"/>
    <w:basedOn w:val="DefaultParagraphFont"/>
    <w:uiPriority w:val="99"/>
    <w:semiHidden/>
    <w:unhideWhenUsed/>
    <w:rsid w:val="00993792"/>
    <w:rPr>
      <w:sz w:val="16"/>
      <w:szCs w:val="16"/>
    </w:rPr>
  </w:style>
  <w:style w:type="paragraph" w:styleId="CommentText">
    <w:name w:val="annotation text"/>
    <w:basedOn w:val="Normal"/>
    <w:link w:val="CommentTextChar"/>
    <w:uiPriority w:val="99"/>
    <w:semiHidden/>
    <w:unhideWhenUsed/>
    <w:rsid w:val="00993792"/>
    <w:pPr>
      <w:spacing w:line="240" w:lineRule="auto"/>
    </w:pPr>
    <w:rPr>
      <w:sz w:val="20"/>
    </w:rPr>
  </w:style>
  <w:style w:type="character" w:customStyle="1" w:styleId="CommentTextChar">
    <w:name w:val="Comment Text Char"/>
    <w:basedOn w:val="DefaultParagraphFont"/>
    <w:link w:val="CommentText"/>
    <w:uiPriority w:val="99"/>
    <w:semiHidden/>
    <w:rsid w:val="00993792"/>
    <w:rPr>
      <w:rFonts w:ascii="Times New Roman" w:eastAsiaTheme="minorHAns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3792"/>
    <w:rPr>
      <w:b/>
      <w:bCs/>
    </w:rPr>
  </w:style>
  <w:style w:type="character" w:customStyle="1" w:styleId="CommentSubjectChar">
    <w:name w:val="Comment Subject Char"/>
    <w:basedOn w:val="CommentTextChar"/>
    <w:link w:val="CommentSubject"/>
    <w:uiPriority w:val="99"/>
    <w:semiHidden/>
    <w:rsid w:val="00993792"/>
    <w:rPr>
      <w:rFonts w:ascii="Times New Roman" w:eastAsiaTheme="minorHAnsi" w:hAnsi="Times New Roman" w:cs="Times New Roman"/>
      <w:b/>
      <w:bCs/>
      <w:sz w:val="20"/>
      <w:szCs w:val="20"/>
    </w:rPr>
  </w:style>
  <w:style w:type="paragraph" w:styleId="BodyTextIndent">
    <w:name w:val="Body Text Indent"/>
    <w:basedOn w:val="Normal"/>
    <w:link w:val="BodyTextIndentChar"/>
    <w:uiPriority w:val="99"/>
    <w:unhideWhenUsed/>
    <w:rsid w:val="00993792"/>
  </w:style>
  <w:style w:type="character" w:customStyle="1" w:styleId="BodyTextIndentChar">
    <w:name w:val="Body Text Indent Char"/>
    <w:basedOn w:val="DefaultParagraphFont"/>
    <w:link w:val="BodyTextIndent"/>
    <w:uiPriority w:val="99"/>
    <w:rsid w:val="00993792"/>
    <w:rPr>
      <w:rFonts w:ascii="Times New Roman" w:eastAsiaTheme="minorHAnsi" w:hAnsi="Times New Roman" w:cs="Times New Roman"/>
      <w:szCs w:val="20"/>
    </w:rPr>
  </w:style>
  <w:style w:type="character" w:styleId="Hyperlink">
    <w:name w:val="Hyperlink"/>
    <w:basedOn w:val="DefaultParagraphFont"/>
    <w:uiPriority w:val="99"/>
    <w:unhideWhenUsed/>
    <w:rsid w:val="00E05A9A"/>
    <w:rPr>
      <w:color w:val="0000FF" w:themeColor="hyperlink"/>
      <w:u w:val="single"/>
    </w:rPr>
  </w:style>
  <w:style w:type="character" w:customStyle="1" w:styleId="Heading2Char">
    <w:name w:val="Heading 2 Char"/>
    <w:basedOn w:val="DefaultParagraphFont"/>
    <w:link w:val="Heading2"/>
    <w:uiPriority w:val="9"/>
    <w:rsid w:val="003419EC"/>
    <w:rPr>
      <w:rFonts w:ascii="Times New Roman" w:eastAsiaTheme="minorHAnsi" w:hAnsi="Times New Roman" w:cs="Times New Roman"/>
      <w:b/>
    </w:rPr>
  </w:style>
  <w:style w:type="character" w:customStyle="1" w:styleId="Heading3Char">
    <w:name w:val="Heading 3 Char"/>
    <w:basedOn w:val="DefaultParagraphFont"/>
    <w:link w:val="Heading3"/>
    <w:uiPriority w:val="9"/>
    <w:rsid w:val="00F05C2D"/>
    <w:rPr>
      <w:rFonts w:ascii="Times New Roman" w:eastAsiaTheme="minorHAnsi" w:hAnsi="Times New Roman" w:cs="Times New Roman"/>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7FB"/>
    <w:pPr>
      <w:spacing w:after="240" w:line="480" w:lineRule="auto"/>
      <w:ind w:firstLine="720"/>
      <w:contextualSpacing/>
      <w:jc w:val="both"/>
    </w:pPr>
    <w:rPr>
      <w:rFonts w:ascii="Times New Roman" w:eastAsiaTheme="minorHAnsi" w:hAnsi="Times New Roman" w:cs="Times New Roman"/>
      <w:szCs w:val="20"/>
    </w:rPr>
  </w:style>
  <w:style w:type="paragraph" w:styleId="Heading1">
    <w:name w:val="heading 1"/>
    <w:basedOn w:val="Normal"/>
    <w:next w:val="Normal"/>
    <w:link w:val="Heading1Char"/>
    <w:uiPriority w:val="9"/>
    <w:qFormat/>
    <w:rsid w:val="000A4AF4"/>
    <w:pPr>
      <w:keepNext/>
      <w:keepLines/>
      <w:spacing w:line="240" w:lineRule="auto"/>
      <w:ind w:firstLine="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419EC"/>
    <w:pPr>
      <w:keepNext/>
      <w:spacing w:after="0" w:line="240" w:lineRule="auto"/>
      <w:ind w:hanging="18"/>
      <w:jc w:val="center"/>
      <w:outlineLvl w:val="1"/>
    </w:pPr>
    <w:rPr>
      <w:b/>
      <w:szCs w:val="24"/>
    </w:rPr>
  </w:style>
  <w:style w:type="paragraph" w:styleId="Heading3">
    <w:name w:val="heading 3"/>
    <w:basedOn w:val="Normal"/>
    <w:next w:val="Normal"/>
    <w:link w:val="Heading3Char"/>
    <w:uiPriority w:val="9"/>
    <w:unhideWhenUsed/>
    <w:qFormat/>
    <w:rsid w:val="00F05C2D"/>
    <w:pPr>
      <w:keepNext/>
      <w:spacing w:after="0" w:line="240" w:lineRule="auto"/>
      <w:ind w:firstLine="0"/>
      <w:jc w:val="center"/>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default">
    <w:name w:val="My default"/>
    <w:basedOn w:val="Normal"/>
    <w:autoRedefine/>
    <w:rsid w:val="007747FB"/>
    <w:pPr>
      <w:tabs>
        <w:tab w:val="left" w:pos="720"/>
      </w:tabs>
      <w:spacing w:after="0"/>
    </w:pPr>
    <w:rPr>
      <w:b/>
      <w:szCs w:val="24"/>
    </w:rPr>
  </w:style>
  <w:style w:type="paragraph" w:styleId="Footer">
    <w:name w:val="footer"/>
    <w:basedOn w:val="Normal"/>
    <w:link w:val="FooterChar"/>
    <w:uiPriority w:val="99"/>
    <w:unhideWhenUsed/>
    <w:rsid w:val="00053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B4B"/>
    <w:rPr>
      <w:rFonts w:ascii="Times New Roman" w:eastAsiaTheme="minorHAnsi" w:hAnsi="Times New Roman" w:cs="Times New Roman"/>
      <w:szCs w:val="20"/>
    </w:rPr>
  </w:style>
  <w:style w:type="paragraph" w:styleId="FootnoteText">
    <w:name w:val="footnote text"/>
    <w:basedOn w:val="Normal"/>
    <w:link w:val="FootnoteTextChar"/>
    <w:uiPriority w:val="99"/>
    <w:semiHidden/>
    <w:unhideWhenUsed/>
    <w:rsid w:val="00053B4B"/>
    <w:pPr>
      <w:spacing w:after="0" w:line="240" w:lineRule="auto"/>
    </w:pPr>
    <w:rPr>
      <w:sz w:val="20"/>
    </w:rPr>
  </w:style>
  <w:style w:type="character" w:customStyle="1" w:styleId="FootnoteTextChar">
    <w:name w:val="Footnote Text Char"/>
    <w:basedOn w:val="DefaultParagraphFont"/>
    <w:link w:val="FootnoteText"/>
    <w:uiPriority w:val="99"/>
    <w:semiHidden/>
    <w:rsid w:val="00053B4B"/>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053B4B"/>
    <w:rPr>
      <w:vertAlign w:val="superscript"/>
    </w:rPr>
  </w:style>
  <w:style w:type="paragraph" w:customStyle="1" w:styleId="MYstyle">
    <w:name w:val="MY style"/>
    <w:basedOn w:val="NoSpacing"/>
    <w:rsid w:val="00053B4B"/>
    <w:pPr>
      <w:contextualSpacing/>
    </w:pPr>
    <w:rPr>
      <w:rFonts w:eastAsia="Times New Roman"/>
      <w:szCs w:val="22"/>
      <w:lang w:bidi="en-US"/>
    </w:rPr>
  </w:style>
  <w:style w:type="paragraph" w:styleId="NoSpacing">
    <w:name w:val="No Spacing"/>
    <w:aliases w:val="My Reference"/>
    <w:uiPriority w:val="1"/>
    <w:qFormat/>
    <w:rsid w:val="00C000B0"/>
    <w:pPr>
      <w:spacing w:after="120"/>
      <w:ind w:left="720" w:hanging="720"/>
      <w:jc w:val="both"/>
    </w:pPr>
    <w:rPr>
      <w:rFonts w:ascii="Times New Roman" w:eastAsiaTheme="minorHAnsi" w:hAnsi="Times New Roman" w:cs="Times New Roman"/>
      <w:szCs w:val="20"/>
    </w:rPr>
  </w:style>
  <w:style w:type="paragraph" w:styleId="Header">
    <w:name w:val="header"/>
    <w:basedOn w:val="Normal"/>
    <w:link w:val="HeaderChar"/>
    <w:uiPriority w:val="99"/>
    <w:unhideWhenUsed/>
    <w:rsid w:val="00890E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890E02"/>
    <w:rPr>
      <w:rFonts w:ascii="Times New Roman" w:eastAsiaTheme="minorHAnsi" w:hAnsi="Times New Roman" w:cs="Times New Roman"/>
      <w:szCs w:val="20"/>
    </w:rPr>
  </w:style>
  <w:style w:type="table" w:styleId="TableGrid">
    <w:name w:val="Table Grid"/>
    <w:basedOn w:val="TableNormal"/>
    <w:uiPriority w:val="39"/>
    <w:rsid w:val="00465B48"/>
    <w:pPr>
      <w:jc w:val="both"/>
    </w:pPr>
    <w:rPr>
      <w:rFonts w:ascii="Times New Roman" w:eastAsiaTheme="minorHAnsi" w:hAnsi="Times New Roman" w:cs="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0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AF9"/>
    <w:rPr>
      <w:rFonts w:ascii="Segoe UI" w:eastAsiaTheme="minorHAnsi" w:hAnsi="Segoe UI" w:cs="Segoe UI"/>
      <w:sz w:val="18"/>
      <w:szCs w:val="18"/>
    </w:rPr>
  </w:style>
  <w:style w:type="paragraph" w:styleId="Title">
    <w:name w:val="Title"/>
    <w:basedOn w:val="Normal"/>
    <w:next w:val="Normal"/>
    <w:link w:val="TitleChar"/>
    <w:uiPriority w:val="10"/>
    <w:qFormat/>
    <w:rsid w:val="007747FB"/>
    <w:pPr>
      <w:spacing w:line="240" w:lineRule="auto"/>
      <w:ind w:firstLine="0"/>
    </w:pPr>
    <w:rPr>
      <w:rFonts w:eastAsiaTheme="majorEastAsia" w:cstheme="majorBidi"/>
      <w:b/>
      <w:spacing w:val="-10"/>
      <w:kern w:val="28"/>
      <w:szCs w:val="56"/>
    </w:rPr>
  </w:style>
  <w:style w:type="character" w:customStyle="1" w:styleId="TitleChar">
    <w:name w:val="Title Char"/>
    <w:basedOn w:val="DefaultParagraphFont"/>
    <w:link w:val="Title"/>
    <w:uiPriority w:val="10"/>
    <w:rsid w:val="007747FB"/>
    <w:rPr>
      <w:rFonts w:ascii="Times New Roman" w:eastAsiaTheme="majorEastAsia" w:hAnsi="Times New Roman" w:cstheme="majorBidi"/>
      <w:b/>
      <w:spacing w:val="-10"/>
      <w:kern w:val="28"/>
      <w:szCs w:val="56"/>
    </w:rPr>
  </w:style>
  <w:style w:type="paragraph" w:styleId="Subtitle">
    <w:name w:val="Subtitle"/>
    <w:basedOn w:val="Normal"/>
    <w:next w:val="Normal"/>
    <w:link w:val="SubtitleChar"/>
    <w:uiPriority w:val="11"/>
    <w:qFormat/>
    <w:rsid w:val="000A4AF4"/>
    <w:pPr>
      <w:numPr>
        <w:ilvl w:val="1"/>
      </w:numPr>
      <w:spacing w:after="0"/>
      <w:ind w:firstLine="720"/>
      <w:jc w:val="left"/>
    </w:pPr>
    <w:rPr>
      <w:rFonts w:eastAsiaTheme="minorEastAsia" w:cstheme="minorBidi"/>
      <w:i/>
      <w:szCs w:val="22"/>
    </w:rPr>
  </w:style>
  <w:style w:type="character" w:customStyle="1" w:styleId="SubtitleChar">
    <w:name w:val="Subtitle Char"/>
    <w:basedOn w:val="DefaultParagraphFont"/>
    <w:link w:val="Subtitle"/>
    <w:uiPriority w:val="11"/>
    <w:rsid w:val="000A4AF4"/>
    <w:rPr>
      <w:rFonts w:ascii="Times New Roman" w:hAnsi="Times New Roman"/>
      <w:i/>
      <w:szCs w:val="22"/>
    </w:rPr>
  </w:style>
  <w:style w:type="character" w:styleId="SubtleEmphasis">
    <w:name w:val="Subtle Emphasis"/>
    <w:basedOn w:val="DefaultParagraphFont"/>
    <w:uiPriority w:val="19"/>
    <w:qFormat/>
    <w:rsid w:val="000A4AF4"/>
    <w:rPr>
      <w:i/>
      <w:iCs/>
      <w:color w:val="404040" w:themeColor="text1" w:themeTint="BF"/>
    </w:rPr>
  </w:style>
  <w:style w:type="character" w:customStyle="1" w:styleId="Heading1Char">
    <w:name w:val="Heading 1 Char"/>
    <w:basedOn w:val="DefaultParagraphFont"/>
    <w:link w:val="Heading1"/>
    <w:uiPriority w:val="9"/>
    <w:rsid w:val="000A4AF4"/>
    <w:rPr>
      <w:rFonts w:ascii="Times New Roman" w:eastAsiaTheme="majorEastAsia" w:hAnsi="Times New Roman" w:cstheme="majorBidi"/>
      <w:b/>
      <w:sz w:val="32"/>
      <w:szCs w:val="32"/>
    </w:rPr>
  </w:style>
  <w:style w:type="character" w:styleId="SubtleReference">
    <w:name w:val="Subtle Reference"/>
    <w:aliases w:val="Reference"/>
    <w:uiPriority w:val="31"/>
    <w:qFormat/>
    <w:rsid w:val="000A4AF4"/>
    <w:rPr>
      <w:rFonts w:ascii="Times New Roman" w:hAnsi="Times New Roman"/>
      <w:smallCaps/>
      <w:color w:val="auto"/>
      <w:sz w:val="24"/>
    </w:rPr>
  </w:style>
  <w:style w:type="paragraph" w:customStyle="1" w:styleId="TableBody">
    <w:name w:val="Table Body"/>
    <w:basedOn w:val="Normal"/>
    <w:qFormat/>
    <w:rsid w:val="00C000B0"/>
    <w:pPr>
      <w:tabs>
        <w:tab w:val="decimal" w:pos="360"/>
      </w:tabs>
      <w:spacing w:after="0" w:line="240" w:lineRule="auto"/>
      <w:ind w:firstLine="0"/>
    </w:pPr>
  </w:style>
  <w:style w:type="character" w:styleId="CommentReference">
    <w:name w:val="annotation reference"/>
    <w:basedOn w:val="DefaultParagraphFont"/>
    <w:uiPriority w:val="99"/>
    <w:semiHidden/>
    <w:unhideWhenUsed/>
    <w:rsid w:val="00993792"/>
    <w:rPr>
      <w:sz w:val="16"/>
      <w:szCs w:val="16"/>
    </w:rPr>
  </w:style>
  <w:style w:type="paragraph" w:styleId="CommentText">
    <w:name w:val="annotation text"/>
    <w:basedOn w:val="Normal"/>
    <w:link w:val="CommentTextChar"/>
    <w:uiPriority w:val="99"/>
    <w:semiHidden/>
    <w:unhideWhenUsed/>
    <w:rsid w:val="00993792"/>
    <w:pPr>
      <w:spacing w:line="240" w:lineRule="auto"/>
    </w:pPr>
    <w:rPr>
      <w:sz w:val="20"/>
    </w:rPr>
  </w:style>
  <w:style w:type="character" w:customStyle="1" w:styleId="CommentTextChar">
    <w:name w:val="Comment Text Char"/>
    <w:basedOn w:val="DefaultParagraphFont"/>
    <w:link w:val="CommentText"/>
    <w:uiPriority w:val="99"/>
    <w:semiHidden/>
    <w:rsid w:val="00993792"/>
    <w:rPr>
      <w:rFonts w:ascii="Times New Roman" w:eastAsiaTheme="minorHAns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3792"/>
    <w:rPr>
      <w:b/>
      <w:bCs/>
    </w:rPr>
  </w:style>
  <w:style w:type="character" w:customStyle="1" w:styleId="CommentSubjectChar">
    <w:name w:val="Comment Subject Char"/>
    <w:basedOn w:val="CommentTextChar"/>
    <w:link w:val="CommentSubject"/>
    <w:uiPriority w:val="99"/>
    <w:semiHidden/>
    <w:rsid w:val="00993792"/>
    <w:rPr>
      <w:rFonts w:ascii="Times New Roman" w:eastAsiaTheme="minorHAnsi" w:hAnsi="Times New Roman" w:cs="Times New Roman"/>
      <w:b/>
      <w:bCs/>
      <w:sz w:val="20"/>
      <w:szCs w:val="20"/>
    </w:rPr>
  </w:style>
  <w:style w:type="paragraph" w:styleId="BodyTextIndent">
    <w:name w:val="Body Text Indent"/>
    <w:basedOn w:val="Normal"/>
    <w:link w:val="BodyTextIndentChar"/>
    <w:uiPriority w:val="99"/>
    <w:unhideWhenUsed/>
    <w:rsid w:val="00993792"/>
  </w:style>
  <w:style w:type="character" w:customStyle="1" w:styleId="BodyTextIndentChar">
    <w:name w:val="Body Text Indent Char"/>
    <w:basedOn w:val="DefaultParagraphFont"/>
    <w:link w:val="BodyTextIndent"/>
    <w:uiPriority w:val="99"/>
    <w:rsid w:val="00993792"/>
    <w:rPr>
      <w:rFonts w:ascii="Times New Roman" w:eastAsiaTheme="minorHAnsi" w:hAnsi="Times New Roman" w:cs="Times New Roman"/>
      <w:szCs w:val="20"/>
    </w:rPr>
  </w:style>
  <w:style w:type="character" w:styleId="Hyperlink">
    <w:name w:val="Hyperlink"/>
    <w:basedOn w:val="DefaultParagraphFont"/>
    <w:uiPriority w:val="99"/>
    <w:unhideWhenUsed/>
    <w:rsid w:val="00E05A9A"/>
    <w:rPr>
      <w:color w:val="0000FF" w:themeColor="hyperlink"/>
      <w:u w:val="single"/>
    </w:rPr>
  </w:style>
  <w:style w:type="character" w:customStyle="1" w:styleId="Heading2Char">
    <w:name w:val="Heading 2 Char"/>
    <w:basedOn w:val="DefaultParagraphFont"/>
    <w:link w:val="Heading2"/>
    <w:uiPriority w:val="9"/>
    <w:rsid w:val="003419EC"/>
    <w:rPr>
      <w:rFonts w:ascii="Times New Roman" w:eastAsiaTheme="minorHAnsi" w:hAnsi="Times New Roman" w:cs="Times New Roman"/>
      <w:b/>
    </w:rPr>
  </w:style>
  <w:style w:type="character" w:customStyle="1" w:styleId="Heading3Char">
    <w:name w:val="Heading 3 Char"/>
    <w:basedOn w:val="DefaultParagraphFont"/>
    <w:link w:val="Heading3"/>
    <w:uiPriority w:val="9"/>
    <w:rsid w:val="00F05C2D"/>
    <w:rPr>
      <w:rFonts w:ascii="Times New Roman" w:eastAsiaTheme="minorHAnsi"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510372">
      <w:bodyDiv w:val="1"/>
      <w:marLeft w:val="0"/>
      <w:marRight w:val="0"/>
      <w:marTop w:val="0"/>
      <w:marBottom w:val="0"/>
      <w:divBdr>
        <w:top w:val="none" w:sz="0" w:space="0" w:color="auto"/>
        <w:left w:val="none" w:sz="0" w:space="0" w:color="auto"/>
        <w:bottom w:val="none" w:sz="0" w:space="0" w:color="auto"/>
        <w:right w:val="none" w:sz="0" w:space="0" w:color="auto"/>
      </w:divBdr>
      <w:divsChild>
        <w:div w:id="1192721290">
          <w:marLeft w:val="0"/>
          <w:marRight w:val="0"/>
          <w:marTop w:val="0"/>
          <w:marBottom w:val="0"/>
          <w:divBdr>
            <w:top w:val="none" w:sz="0" w:space="0" w:color="auto"/>
            <w:left w:val="none" w:sz="0" w:space="0" w:color="auto"/>
            <w:bottom w:val="none" w:sz="0" w:space="0" w:color="auto"/>
            <w:right w:val="none" w:sz="0" w:space="0" w:color="auto"/>
          </w:divBdr>
        </w:div>
        <w:div w:id="2245315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605D-70F1-E541-B469-8BA1B67AC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17</Pages>
  <Words>5390</Words>
  <Characters>30729</Characters>
  <Application>Microsoft Macintosh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 Followill</dc:creator>
  <cp:keywords/>
  <dc:description/>
  <cp:lastModifiedBy>Richard A. Followill</cp:lastModifiedBy>
  <cp:revision>4</cp:revision>
  <cp:lastPrinted>2016-04-03T15:10:00Z</cp:lastPrinted>
  <dcterms:created xsi:type="dcterms:W3CDTF">2016-05-19T16:06:00Z</dcterms:created>
  <dcterms:modified xsi:type="dcterms:W3CDTF">2016-05-19T17:14:00Z</dcterms:modified>
</cp:coreProperties>
</file>